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default" w:ascii="Times New Roman" w:hAnsi="Times New Roman" w:eastAsia="仿宋_GB2312" w:cs="Times New Roman"/>
          <w:b/>
          <w:bCs/>
          <w:color w:val="auto"/>
          <w:kern w:val="0"/>
          <w:sz w:val="36"/>
          <w:szCs w:val="36"/>
        </w:rPr>
      </w:pPr>
      <w:r>
        <w:rPr>
          <w:rFonts w:hint="default" w:ascii="Times New Roman" w:hAnsi="Times New Roman" w:eastAsia="仿宋_GB2312" w:cs="Times New Roman"/>
          <w:b/>
          <w:bCs/>
          <w:color w:val="auto"/>
          <w:kern w:val="0"/>
          <w:sz w:val="36"/>
          <w:szCs w:val="36"/>
          <w:lang w:val="en-US" w:eastAsia="zh-CN"/>
        </w:rPr>
        <w:t>杭州市余杭区仁和街道办事处</w:t>
      </w:r>
      <w:r>
        <w:rPr>
          <w:rFonts w:hint="default" w:ascii="Times New Roman" w:hAnsi="Times New Roman" w:eastAsia="仿宋_GB2312" w:cs="Times New Roman"/>
          <w:b/>
          <w:bCs/>
          <w:color w:val="auto"/>
          <w:kern w:val="0"/>
          <w:sz w:val="36"/>
          <w:szCs w:val="36"/>
        </w:rPr>
        <w:t>202</w:t>
      </w:r>
      <w:r>
        <w:rPr>
          <w:rFonts w:hint="default" w:ascii="Times New Roman" w:hAnsi="Times New Roman" w:eastAsia="仿宋_GB2312" w:cs="Times New Roman"/>
          <w:b/>
          <w:bCs/>
          <w:color w:val="auto"/>
          <w:kern w:val="0"/>
          <w:sz w:val="36"/>
          <w:szCs w:val="36"/>
          <w:lang w:val="en-US" w:eastAsia="zh-CN"/>
        </w:rPr>
        <w:t>3</w:t>
      </w:r>
      <w:r>
        <w:rPr>
          <w:rFonts w:hint="default" w:ascii="Times New Roman" w:hAnsi="Times New Roman" w:eastAsia="仿宋_GB2312" w:cs="Times New Roman"/>
          <w:b/>
          <w:bCs/>
          <w:color w:val="auto"/>
          <w:kern w:val="0"/>
          <w:sz w:val="36"/>
          <w:szCs w:val="36"/>
        </w:rPr>
        <w:t>年度政府信息</w:t>
      </w:r>
    </w:p>
    <w:p>
      <w:pPr>
        <w:widowControl/>
        <w:shd w:val="clear" w:color="auto" w:fill="FFFFFF"/>
        <w:jc w:val="center"/>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auto"/>
          <w:kern w:val="0"/>
          <w:sz w:val="36"/>
          <w:szCs w:val="36"/>
        </w:rPr>
        <w:t>公开</w:t>
      </w:r>
      <w:r>
        <w:rPr>
          <w:rFonts w:hint="default" w:ascii="Times New Roman" w:hAnsi="Times New Roman" w:eastAsia="仿宋_GB2312" w:cs="Times New Roman"/>
          <w:b/>
          <w:bCs/>
          <w:color w:val="333333"/>
          <w:kern w:val="0"/>
          <w:sz w:val="36"/>
          <w:szCs w:val="36"/>
        </w:rPr>
        <w:t>工作年度报告</w:t>
      </w:r>
    </w:p>
    <w:p>
      <w:pPr>
        <w:widowControl/>
        <w:shd w:val="clear" w:color="auto" w:fill="FFFFFF"/>
        <w:wordWrap/>
        <w:adjustRightInd/>
        <w:snapToGrid/>
        <w:spacing w:line="240" w:lineRule="auto"/>
        <w:ind w:left="0" w:leftChars="0" w:right="0" w:firstLine="480" w:firstLineChars="0"/>
        <w:jc w:val="both"/>
        <w:textAlignment w:val="auto"/>
        <w:outlineLvl w:val="9"/>
        <w:rPr>
          <w:rFonts w:hint="default" w:ascii="Times New Roman" w:hAnsi="Times New Roman" w:eastAsia="仿宋_GB2312" w:cs="Times New Roman"/>
          <w:color w:val="333333"/>
          <w:kern w:val="0"/>
          <w:sz w:val="27"/>
          <w:szCs w:val="27"/>
        </w:rPr>
      </w:pPr>
    </w:p>
    <w:p>
      <w:pPr>
        <w:widowControl/>
        <w:numPr>
          <w:ilvl w:val="0"/>
          <w:numId w:val="1"/>
        </w:numPr>
        <w:shd w:val="clear" w:color="auto" w:fill="FFFFFF"/>
        <w:wordWrap/>
        <w:adjustRightInd/>
        <w:snapToGrid/>
        <w:spacing w:line="570" w:lineRule="exact"/>
        <w:ind w:left="0" w:leftChars="0" w:right="0" w:firstLine="542" w:firstLineChars="200"/>
        <w:jc w:val="both"/>
        <w:textAlignment w:val="auto"/>
        <w:outlineLvl w:val="9"/>
        <w:rPr>
          <w:rFonts w:hint="default" w:ascii="Times New Roman" w:hAnsi="Times New Roman" w:eastAsia="仿宋_GB2312" w:cs="Times New Roman"/>
          <w:b/>
          <w:bCs/>
          <w:color w:val="333333"/>
          <w:kern w:val="0"/>
          <w:sz w:val="27"/>
          <w:szCs w:val="27"/>
        </w:rPr>
      </w:pPr>
      <w:r>
        <w:rPr>
          <w:rFonts w:hint="default" w:ascii="Times New Roman" w:hAnsi="Times New Roman" w:eastAsia="仿宋_GB2312" w:cs="Times New Roman"/>
          <w:b/>
          <w:bCs/>
          <w:color w:val="333333"/>
          <w:kern w:val="0"/>
          <w:sz w:val="27"/>
          <w:szCs w:val="27"/>
        </w:rPr>
        <w:t>总体情况</w:t>
      </w:r>
    </w:p>
    <w:p>
      <w:pPr>
        <w:widowControl/>
        <w:numPr>
          <w:ilvl w:val="0"/>
          <w:numId w:val="0"/>
        </w:numPr>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2023年，仁和街道在区委、区政府的正确领导下，认真贯彻落实《中华人民共和国政府信息公开条例》以及省、市、区等有关文件，不断建立健全信息公开制度，进一步规范信息工作内容，有序提高政府信息公开工作。</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（一）主动公开</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i w:val="0"/>
          <w:iCs w:val="0"/>
          <w:color w:val="auto"/>
          <w:sz w:val="28"/>
          <w:szCs w:val="28"/>
          <w:lang w:val="en-US" w:eastAsia="zh-CN"/>
        </w:rPr>
      </w:pPr>
      <w:r>
        <w:rPr>
          <w:rFonts w:hint="default" w:ascii="Times New Roman" w:hAnsi="Times New Roman" w:eastAsia="仿宋_GB2312" w:cs="Times New Roman"/>
          <w:i w:val="0"/>
          <w:iCs w:val="0"/>
          <w:color w:val="auto"/>
          <w:sz w:val="28"/>
          <w:szCs w:val="28"/>
          <w:lang w:val="en-US" w:eastAsia="zh-CN"/>
        </w:rPr>
        <w:t>2023年，仁和街道通过政务网站、余杭门户网站、微信公众号累计主动公开2131条，其中工作动态信息1551条，镇街文件及其他类15条，“智汇仁和”微信公众号推送565条。</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（二）依申请公开</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i w:val="0"/>
          <w:iCs w:val="0"/>
          <w:color w:val="FF0000"/>
          <w:sz w:val="28"/>
          <w:szCs w:val="28"/>
          <w:lang w:val="en-US" w:eastAsia="zh-CN"/>
        </w:rPr>
      </w:pPr>
      <w:r>
        <w:rPr>
          <w:rFonts w:hint="default" w:ascii="Times New Roman" w:hAnsi="Times New Roman" w:eastAsia="仿宋_GB2312" w:cs="Times New Roman"/>
          <w:i w:val="0"/>
          <w:iCs w:val="0"/>
          <w:color w:val="auto"/>
          <w:sz w:val="28"/>
          <w:szCs w:val="28"/>
          <w:lang w:val="en-US" w:eastAsia="zh-CN"/>
        </w:rPr>
        <w:t>本年度街道通过当面受理、信函、网络申请等形式受理依申请公开16件（其中包括上年结转件3件），已依法答复办结15件，申请人撤件1件，无下年结转件。相关诉讼案件0起，复议0起。</w:t>
      </w:r>
    </w:p>
    <w:p>
      <w:pPr>
        <w:widowControl/>
        <w:numPr>
          <w:ilvl w:val="0"/>
          <w:numId w:val="2"/>
        </w:numPr>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政府信息管理</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i w:val="0"/>
          <w:iCs w:val="0"/>
          <w:color w:val="auto"/>
          <w:kern w:val="0"/>
          <w:sz w:val="28"/>
          <w:szCs w:val="28"/>
          <w:lang w:val="en-US" w:eastAsia="zh-CN"/>
        </w:rPr>
      </w:pPr>
      <w:r>
        <w:rPr>
          <w:rFonts w:hint="default" w:ascii="Times New Roman" w:hAnsi="Times New Roman" w:eastAsia="仿宋_GB2312" w:cs="Times New Roman"/>
          <w:i w:val="0"/>
          <w:iCs w:val="0"/>
          <w:color w:val="auto"/>
          <w:kern w:val="0"/>
          <w:sz w:val="28"/>
          <w:szCs w:val="28"/>
          <w:lang w:val="en-US" w:eastAsia="zh-CN"/>
        </w:rPr>
        <w:t>一是健全工作体制机制。</w:t>
      </w:r>
      <w:r>
        <w:rPr>
          <w:rFonts w:hint="default" w:ascii="Times New Roman" w:hAnsi="Times New Roman" w:eastAsia="仿宋_GB2312" w:cs="Times New Roman"/>
          <w:i w:val="0"/>
          <w:iCs w:val="0"/>
          <w:color w:val="auto"/>
          <w:kern w:val="0"/>
          <w:sz w:val="28"/>
          <w:szCs w:val="28"/>
        </w:rPr>
        <w:t>按照“主要领导牵头抓、分管领导具体抓、责任到科办、落实到人头”的工作机制，健全政务公开日常工作联通、督促机制，确保有专门联络员负责信息公开，压实工作责任</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lang w:val="en-US" w:eastAsia="zh-CN"/>
        </w:rPr>
        <w:t>二是做好信息审核把关。严格落实“谁提供、谁审核、谁负责”的原则，确保信息真实性、准确性和权威性。认真对照上级有关要求，加强政务新媒体信息发布管理，确保信息公开及时、有效、准确，不发生泄密事件。</w:t>
      </w:r>
    </w:p>
    <w:p>
      <w:pPr>
        <w:widowControl/>
        <w:numPr>
          <w:ilvl w:val="0"/>
          <w:numId w:val="2"/>
        </w:numPr>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政府信息公开平台建设</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i w:val="0"/>
          <w:iCs w:val="0"/>
          <w:color w:val="auto"/>
          <w:kern w:val="0"/>
          <w:sz w:val="28"/>
          <w:szCs w:val="28"/>
        </w:rPr>
      </w:pPr>
      <w:r>
        <w:rPr>
          <w:rFonts w:hint="default" w:ascii="Times New Roman" w:hAnsi="Times New Roman" w:eastAsia="仿宋_GB2312" w:cs="Times New Roman"/>
          <w:i w:val="0"/>
          <w:iCs w:val="0"/>
          <w:color w:val="auto"/>
          <w:kern w:val="0"/>
          <w:sz w:val="28"/>
          <w:szCs w:val="28"/>
        </w:rPr>
        <w:t>坚持灵活多样</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便民利民的原则，在完善政务公开栏等常规公开平台的基础上</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做好线上平台管理维护</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统筹运用</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lang w:val="en-US" w:eastAsia="zh-CN"/>
        </w:rPr>
        <w:t>智汇仁和</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微信公众号等政务新媒体</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扩大公开信息的受众面</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拓宽政务公开的渠道。落实专人负责接听咨询公开政务的电话</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做到规范回答</w:t>
      </w:r>
      <w:r>
        <w:rPr>
          <w:rFonts w:hint="default" w:ascii="Times New Roman" w:hAnsi="Times New Roman" w:eastAsia="仿宋_GB2312" w:cs="Times New Roman"/>
          <w:i w:val="0"/>
          <w:iCs w:val="0"/>
          <w:color w:val="auto"/>
          <w:kern w:val="0"/>
          <w:sz w:val="28"/>
          <w:szCs w:val="28"/>
          <w:lang w:eastAsia="zh-CN"/>
        </w:rPr>
        <w:t>，</w:t>
      </w:r>
      <w:r>
        <w:rPr>
          <w:rFonts w:hint="default" w:ascii="Times New Roman" w:hAnsi="Times New Roman" w:eastAsia="仿宋_GB2312" w:cs="Times New Roman"/>
          <w:i w:val="0"/>
          <w:iCs w:val="0"/>
          <w:color w:val="auto"/>
          <w:kern w:val="0"/>
          <w:sz w:val="28"/>
          <w:szCs w:val="28"/>
        </w:rPr>
        <w:t>及时记录。</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（五）监督保障</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b w:val="0"/>
          <w:bCs w:val="0"/>
          <w:color w:val="333333"/>
          <w:kern w:val="0"/>
          <w:sz w:val="28"/>
          <w:szCs w:val="28"/>
        </w:rPr>
      </w:pPr>
      <w:r>
        <w:rPr>
          <w:rFonts w:hint="default" w:ascii="Times New Roman" w:hAnsi="Times New Roman" w:eastAsia="仿宋_GB2312" w:cs="Times New Roman"/>
          <w:b w:val="0"/>
          <w:bCs w:val="0"/>
          <w:color w:val="333333"/>
          <w:kern w:val="0"/>
          <w:sz w:val="28"/>
          <w:szCs w:val="28"/>
          <w:lang w:val="en-US" w:eastAsia="zh-CN"/>
        </w:rPr>
        <w:t>加强和落实信息公开制度，</w:t>
      </w:r>
      <w:r>
        <w:rPr>
          <w:rFonts w:hint="default" w:ascii="Times New Roman" w:hAnsi="Times New Roman" w:eastAsia="仿宋_GB2312" w:cs="Times New Roman"/>
          <w:b w:val="0"/>
          <w:bCs w:val="0"/>
          <w:color w:val="333333"/>
          <w:kern w:val="0"/>
          <w:sz w:val="28"/>
          <w:szCs w:val="28"/>
        </w:rPr>
        <w:t>将政务公开工作与党风廉政建设相结合</w:t>
      </w:r>
      <w:r>
        <w:rPr>
          <w:rFonts w:hint="default" w:ascii="Times New Roman" w:hAnsi="Times New Roman" w:eastAsia="仿宋_GB2312" w:cs="Times New Roman"/>
          <w:b w:val="0"/>
          <w:bCs w:val="0"/>
          <w:color w:val="333333"/>
          <w:kern w:val="0"/>
          <w:sz w:val="28"/>
          <w:szCs w:val="28"/>
          <w:lang w:eastAsia="zh-CN"/>
        </w:rPr>
        <w:t>，</w:t>
      </w:r>
      <w:r>
        <w:rPr>
          <w:rFonts w:hint="default" w:ascii="Times New Roman" w:hAnsi="Times New Roman" w:eastAsia="仿宋_GB2312" w:cs="Times New Roman"/>
          <w:b w:val="0"/>
          <w:bCs w:val="0"/>
          <w:color w:val="333333"/>
          <w:kern w:val="0"/>
          <w:sz w:val="28"/>
          <w:szCs w:val="28"/>
        </w:rPr>
        <w:t>确定目标责任制</w:t>
      </w:r>
      <w:r>
        <w:rPr>
          <w:rFonts w:hint="default" w:ascii="Times New Roman" w:hAnsi="Times New Roman" w:eastAsia="仿宋_GB2312" w:cs="Times New Roman"/>
          <w:b w:val="0"/>
          <w:bCs w:val="0"/>
          <w:color w:val="333333"/>
          <w:kern w:val="0"/>
          <w:sz w:val="28"/>
          <w:szCs w:val="28"/>
          <w:lang w:eastAsia="zh-CN"/>
        </w:rPr>
        <w:t>。</w:t>
      </w:r>
      <w:r>
        <w:rPr>
          <w:rFonts w:hint="default" w:ascii="Times New Roman" w:hAnsi="Times New Roman" w:eastAsia="仿宋_GB2312" w:cs="Times New Roman"/>
          <w:b w:val="0"/>
          <w:bCs w:val="0"/>
          <w:color w:val="333333"/>
          <w:kern w:val="0"/>
          <w:sz w:val="28"/>
          <w:szCs w:val="28"/>
          <w:lang w:val="en-US" w:eastAsia="zh-CN"/>
        </w:rPr>
        <w:t>加强指导监督，细化相应考核条目保障政府信息公开工作依法有序开展。积极落实社会评议制度，广泛听取群众意见建议，接受群众监督。2023年度未发生政务公开工作责任追究结果情况。</w:t>
      </w:r>
    </w:p>
    <w:p>
      <w:pPr>
        <w:widowControl/>
        <w:shd w:val="clear" w:color="auto" w:fill="FFFFFF"/>
        <w:wordWrap/>
        <w:adjustRightInd/>
        <w:snapToGrid/>
        <w:spacing w:line="240" w:lineRule="auto"/>
        <w:ind w:left="0" w:leftChars="0" w:right="0" w:firstLine="480"/>
        <w:textAlignment w:val="auto"/>
        <w:outlineLvl w:val="9"/>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333333"/>
          <w:kern w:val="0"/>
          <w:sz w:val="27"/>
          <w:szCs w:val="27"/>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wordWrap/>
              <w:adjustRightInd/>
              <w:snapToGrid/>
              <w:spacing w:line="240" w:lineRule="auto"/>
              <w:ind w:left="0" w:leftChars="0" w:right="0"/>
              <w:jc w:val="center"/>
              <w:textAlignment w:val="auto"/>
              <w:outlineLvl w:val="9"/>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本年</w:t>
            </w:r>
            <w:r>
              <w:rPr>
                <w:rFonts w:hint="default" w:ascii="Times New Roman" w:hAnsi="Times New Roman" w:eastAsia="仿宋_GB2312" w:cs="Times New Roman"/>
                <w:kern w:val="0"/>
                <w:sz w:val="20"/>
                <w:szCs w:val="20"/>
              </w:rPr>
              <w:t>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现行有效件</w:t>
            </w:r>
            <w:r>
              <w:rPr>
                <w:rFonts w:hint="default" w:ascii="Times New Roman" w:hAnsi="Times New Roman" w:eastAsia="仿宋_GB2312" w:cs="Times New Roman"/>
                <w:kern w:val="0"/>
                <w:sz w:val="20"/>
                <w:szCs w:val="20"/>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highlight w:val="none"/>
                <w:lang w:val="en-US" w:eastAsia="zh-CN"/>
              </w:rPr>
            </w:pPr>
            <w:r>
              <w:rPr>
                <w:rFonts w:hint="eastAsia" w:ascii="Times New Roman" w:hAnsi="Times New Roman" w:eastAsia="仿宋_GB2312" w:cs="Times New Roman"/>
                <w:kern w:val="0"/>
                <w:sz w:val="24"/>
                <w:szCs w:val="24"/>
                <w:highlight w:val="none"/>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highlight w:val="none"/>
              </w:rPr>
            </w:pPr>
            <w:r>
              <w:rPr>
                <w:rFonts w:hint="eastAsia" w:ascii="Times New Roman" w:hAnsi="Times New Roman" w:eastAsia="仿宋_GB2312" w:cs="Times New Roman"/>
                <w:color w:val="000000"/>
                <w:kern w:val="0"/>
                <w:sz w:val="20"/>
                <w:szCs w:val="20"/>
                <w:highlight w:val="none"/>
                <w:lang w:val="en-US" w:eastAsia="zh-CN"/>
              </w:rPr>
              <w:t>0</w:t>
            </w:r>
            <w:bookmarkStart w:id="0" w:name="_GoBack"/>
            <w:bookmarkEnd w:id="0"/>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highlight w:val="none"/>
              </w:rPr>
            </w:pPr>
            <w:r>
              <w:rPr>
                <w:rFonts w:hint="eastAsia" w:ascii="Times New Roman" w:hAnsi="Times New Roman" w:eastAsia="仿宋_GB2312" w:cs="Times New Roman"/>
                <w:kern w:val="0"/>
                <w:szCs w:val="21"/>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0</w:t>
            </w:r>
          </w:p>
        </w:tc>
      </w:tr>
    </w:tbl>
    <w:p>
      <w:pPr>
        <w:widowControl/>
        <w:shd w:val="clear" w:color="auto" w:fill="FFFFFF"/>
        <w:wordWrap/>
        <w:adjustRightInd/>
        <w:snapToGrid/>
        <w:spacing w:line="240" w:lineRule="auto"/>
        <w:ind w:left="0" w:leftChars="0" w:right="0" w:firstLine="542" w:firstLineChars="200"/>
        <w:jc w:val="both"/>
        <w:textAlignment w:val="auto"/>
        <w:outlineLvl w:val="9"/>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333333"/>
          <w:kern w:val="0"/>
          <w:sz w:val="27"/>
          <w:szCs w:val="27"/>
        </w:rPr>
        <w:t>三、收到和处理政府信息公开申请情况</w:t>
      </w: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restart"/>
            <w:tcMar>
              <w:top w:w="0" w:type="dxa"/>
              <w:left w:w="108" w:type="dxa"/>
              <w:bottom w:w="0" w:type="dxa"/>
              <w:right w:w="108" w:type="dxa"/>
            </w:tcMar>
            <w:vAlign w:val="center"/>
          </w:tcPr>
          <w:p>
            <w:pPr>
              <w:widowControl/>
              <w:wordWrap/>
              <w:adjustRightInd/>
              <w:snapToGrid/>
              <w:spacing w:line="240" w:lineRule="auto"/>
              <w:ind w:left="0" w:leftChars="0" w:right="0"/>
              <w:jc w:val="left"/>
              <w:textAlignment w:val="auto"/>
              <w:outlineLvl w:val="9"/>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（本列数据的勾稽关系为：第一项加第二项之和，等于第三项加第四项之和）</w:t>
            </w:r>
          </w:p>
        </w:tc>
        <w:tc>
          <w:tcPr>
            <w:tcW w:w="4817" w:type="dxa"/>
            <w:gridSpan w:val="7"/>
            <w:tcMar>
              <w:top w:w="0" w:type="dxa"/>
              <w:left w:w="57" w:type="dxa"/>
              <w:bottom w:w="0" w:type="dxa"/>
              <w:right w:w="57" w:type="dxa"/>
            </w:tcMar>
            <w:vAlign w:val="center"/>
          </w:tcPr>
          <w:p>
            <w:pPr>
              <w:widowControl/>
              <w:wordWrap/>
              <w:adjustRightInd/>
              <w:snapToGrid/>
              <w:spacing w:line="240" w:lineRule="auto"/>
              <w:ind w:left="0" w:leftChars="0" w:right="0"/>
              <w:jc w:val="center"/>
              <w:textAlignment w:val="auto"/>
              <w:outlineLvl w:val="9"/>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continue"/>
            <w:vAlign w:val="center"/>
          </w:tcPr>
          <w:p>
            <w:pPr>
              <w:widowControl/>
              <w:jc w:val="left"/>
              <w:rPr>
                <w:rFonts w:hint="default" w:ascii="Times New Roman" w:hAnsi="Times New Roman" w:eastAsia="仿宋_GB2312" w:cs="Times New Roman"/>
                <w:kern w:val="0"/>
                <w:sz w:val="24"/>
                <w:szCs w:val="24"/>
              </w:rPr>
            </w:pPr>
          </w:p>
        </w:tc>
        <w:tc>
          <w:tcPr>
            <w:tcW w:w="688" w:type="dxa"/>
            <w:vMerge w:val="restart"/>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自然人</w:t>
            </w:r>
          </w:p>
        </w:tc>
        <w:tc>
          <w:tcPr>
            <w:tcW w:w="3440" w:type="dxa"/>
            <w:gridSpan w:val="5"/>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法人或其他组织</w:t>
            </w:r>
          </w:p>
        </w:tc>
        <w:tc>
          <w:tcPr>
            <w:tcW w:w="689" w:type="dxa"/>
            <w:vMerge w:val="restart"/>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continue"/>
            <w:vAlign w:val="center"/>
          </w:tcPr>
          <w:p>
            <w:pPr>
              <w:widowControl/>
              <w:jc w:val="left"/>
              <w:rPr>
                <w:rFonts w:hint="default" w:ascii="Times New Roman" w:hAnsi="Times New Roman" w:eastAsia="仿宋_GB2312" w:cs="Times New Roman"/>
                <w:kern w:val="0"/>
                <w:sz w:val="24"/>
                <w:szCs w:val="24"/>
              </w:rPr>
            </w:pPr>
          </w:p>
        </w:tc>
        <w:tc>
          <w:tcPr>
            <w:tcW w:w="688" w:type="dxa"/>
            <w:vMerge w:val="continue"/>
            <w:vAlign w:val="center"/>
          </w:tcPr>
          <w:p>
            <w:pPr>
              <w:widowControl/>
              <w:jc w:val="left"/>
              <w:rPr>
                <w:rFonts w:hint="default" w:ascii="Times New Roman" w:hAnsi="Times New Roman" w:eastAsia="仿宋_GB2312" w:cs="Times New Roman"/>
                <w:kern w:val="0"/>
                <w:sz w:val="24"/>
                <w:szCs w:val="24"/>
              </w:rPr>
            </w:pP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商业</w:t>
            </w:r>
          </w:p>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企业</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科研</w:t>
            </w:r>
          </w:p>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机构</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社会公益组织</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法律服务机构</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其他</w:t>
            </w:r>
          </w:p>
        </w:tc>
        <w:tc>
          <w:tcPr>
            <w:tcW w:w="689" w:type="dxa"/>
            <w:vMerge w:val="continue"/>
            <w:vAlign w:val="center"/>
          </w:tcPr>
          <w:p>
            <w:pPr>
              <w:widowControl/>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一、本年新收政府信息公开申请数量</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11</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二、上年结转政府信息公开申请数量</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3</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restart"/>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三、本年度办理结果</w:t>
            </w:r>
          </w:p>
        </w:tc>
        <w:tc>
          <w:tcPr>
            <w:tcW w:w="4163" w:type="dxa"/>
            <w:gridSpan w:val="2"/>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（一）予以公开</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4163" w:type="dxa"/>
            <w:gridSpan w:val="2"/>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（二）部分公开（区分处理的，只计这一情形，不计其他情形）</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9</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restart"/>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（三）不予公开</w:t>
            </w: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1.属于国家秘密</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2.其他法律行政法规禁止公开</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3.危及“三安全一稳定”</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4.保护第三方合法权益</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5.属于三类内部事务信息</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6.属于四类过程性信息</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7.属于行政执法案卷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8.属于行政查询事项</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restart"/>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（四）无法提供</w:t>
            </w: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1.本机关不掌握相关政府信息</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2.没有现成信息需要另行制作</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3.补正后申请内容仍不明确</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restart"/>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（五）不予处理</w:t>
            </w: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1.信访举报投诉类申请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2.重复申请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3.要求提供公开出版物</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top"/>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4.无正当理由大量反复申请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center"/>
          </w:tcPr>
          <w:p>
            <w:pPr>
              <w:widowControl/>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5.要求行政机关确认或重新出具已获取信息</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restart"/>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（六）其他处理</w:t>
            </w:r>
          </w:p>
        </w:tc>
        <w:tc>
          <w:tcPr>
            <w:tcW w:w="3220" w:type="dxa"/>
            <w:tcMar>
              <w:top w:w="0" w:type="dxa"/>
              <w:left w:w="57" w:type="dxa"/>
              <w:bottom w:w="0" w:type="dxa"/>
              <w:right w:w="57" w:type="dxa"/>
            </w:tcMar>
            <w:vAlign w:val="center"/>
          </w:tcPr>
          <w:p>
            <w:pPr>
              <w:widowControl/>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1.申请人无正当理由逾期不补正、行政机关不再处理其政府信息公开申请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center"/>
          </w:tcPr>
          <w:p>
            <w:pPr>
              <w:widowControl/>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2.申请人逾期未按收费通知要求缴纳费用、行政机关不再处理其政府信息公开申请</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943" w:type="dxa"/>
            <w:vMerge w:val="continue"/>
            <w:vAlign w:val="center"/>
          </w:tcPr>
          <w:p>
            <w:pPr>
              <w:widowControl/>
              <w:jc w:val="left"/>
              <w:rPr>
                <w:rFonts w:hint="default" w:ascii="Times New Roman" w:hAnsi="Times New Roman" w:eastAsia="仿宋_GB2312" w:cs="Times New Roman"/>
                <w:kern w:val="0"/>
                <w:sz w:val="24"/>
                <w:szCs w:val="24"/>
              </w:rPr>
            </w:pPr>
          </w:p>
        </w:tc>
        <w:tc>
          <w:tcPr>
            <w:tcW w:w="3220" w:type="dxa"/>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3.其他</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8" w:type="dxa"/>
            <w:vMerge w:val="continue"/>
            <w:vAlign w:val="center"/>
          </w:tcPr>
          <w:p>
            <w:pPr>
              <w:widowControl/>
              <w:jc w:val="left"/>
              <w:rPr>
                <w:rFonts w:hint="default" w:ascii="Times New Roman" w:hAnsi="Times New Roman" w:eastAsia="仿宋_GB2312" w:cs="Times New Roman"/>
                <w:kern w:val="0"/>
                <w:sz w:val="24"/>
                <w:szCs w:val="24"/>
              </w:rPr>
            </w:pPr>
          </w:p>
        </w:tc>
        <w:tc>
          <w:tcPr>
            <w:tcW w:w="4163" w:type="dxa"/>
            <w:gridSpan w:val="2"/>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（七）总计</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14</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tcMar>
              <w:top w:w="0" w:type="dxa"/>
              <w:left w:w="57" w:type="dxa"/>
              <w:bottom w:w="0" w:type="dxa"/>
              <w:right w:w="57" w:type="dxa"/>
            </w:tcMar>
            <w:vAlign w:val="center"/>
          </w:tcPr>
          <w:p>
            <w:pPr>
              <w:widowControl/>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四、结转下年度继续办理</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88"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val="en-US" w:eastAsia="zh-CN"/>
              </w:rPr>
              <w:t>0</w:t>
            </w:r>
          </w:p>
        </w:tc>
        <w:tc>
          <w:tcPr>
            <w:tcW w:w="689" w:type="dxa"/>
            <w:tcMar>
              <w:top w:w="0" w:type="dxa"/>
              <w:left w:w="57" w:type="dxa"/>
              <w:bottom w:w="0" w:type="dxa"/>
              <w:right w:w="57" w:type="dxa"/>
            </w:tcMar>
            <w:vAlign w:val="center"/>
          </w:tcPr>
          <w:p>
            <w:pPr>
              <w:widowControl/>
              <w:jc w:val="center"/>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val="en-US" w:eastAsia="zh-CN"/>
              </w:rPr>
              <w:t>0</w:t>
            </w:r>
          </w:p>
        </w:tc>
      </w:tr>
    </w:tbl>
    <w:p>
      <w:pPr>
        <w:widowControl/>
        <w:shd w:val="clear" w:color="auto" w:fill="FFFFFF"/>
        <w:wordWrap/>
        <w:adjustRightInd/>
        <w:snapToGrid/>
        <w:spacing w:line="240" w:lineRule="auto"/>
        <w:ind w:left="0" w:leftChars="0" w:right="0" w:firstLine="542" w:firstLineChars="200"/>
        <w:jc w:val="both"/>
        <w:textAlignment w:val="auto"/>
        <w:outlineLvl w:val="9"/>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333333"/>
          <w:kern w:val="0"/>
          <w:sz w:val="27"/>
          <w:szCs w:val="27"/>
        </w:rPr>
        <w:t>四、政府信息公开行政复议、行政诉讼情况</w:t>
      </w: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5" w:type="dxa"/>
            <w:gridSpan w:val="5"/>
            <w:tcMar>
              <w:top w:w="0" w:type="dxa"/>
              <w:left w:w="108" w:type="dxa"/>
              <w:bottom w:w="0" w:type="dxa"/>
              <w:right w:w="108" w:type="dxa"/>
            </w:tcMar>
            <w:vAlign w:val="center"/>
          </w:tcPr>
          <w:p>
            <w:pPr>
              <w:widowControl/>
              <w:wordWrap/>
              <w:adjustRightInd/>
              <w:snapToGrid/>
              <w:spacing w:line="240" w:lineRule="auto"/>
              <w:ind w:left="0" w:leftChars="0" w:right="0"/>
              <w:jc w:val="center"/>
              <w:textAlignment w:val="auto"/>
              <w:outlineLvl w:val="9"/>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行政复议</w:t>
            </w:r>
          </w:p>
        </w:tc>
        <w:tc>
          <w:tcPr>
            <w:tcW w:w="6503" w:type="dxa"/>
            <w:gridSpan w:val="10"/>
            <w:tcMar>
              <w:top w:w="0" w:type="dxa"/>
              <w:left w:w="108" w:type="dxa"/>
              <w:bottom w:w="0" w:type="dxa"/>
              <w:right w:w="108" w:type="dxa"/>
            </w:tcMar>
            <w:vAlign w:val="center"/>
          </w:tcPr>
          <w:p>
            <w:pPr>
              <w:widowControl/>
              <w:wordWrap/>
              <w:adjustRightInd/>
              <w:snapToGrid/>
              <w:spacing w:line="240" w:lineRule="auto"/>
              <w:ind w:left="0" w:leftChars="0" w:right="0"/>
              <w:jc w:val="center"/>
              <w:textAlignment w:val="auto"/>
              <w:outlineLvl w:val="9"/>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restart"/>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结果维持</w:t>
            </w:r>
          </w:p>
        </w:tc>
        <w:tc>
          <w:tcPr>
            <w:tcW w:w="649" w:type="dxa"/>
            <w:vMerge w:val="restart"/>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纠正</w:t>
            </w:r>
          </w:p>
        </w:tc>
        <w:tc>
          <w:tcPr>
            <w:tcW w:w="649" w:type="dxa"/>
            <w:vMerge w:val="restart"/>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其他</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结果</w:t>
            </w:r>
          </w:p>
        </w:tc>
        <w:tc>
          <w:tcPr>
            <w:tcW w:w="649" w:type="dxa"/>
            <w:vMerge w:val="restart"/>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尚未</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审结</w:t>
            </w:r>
          </w:p>
        </w:tc>
        <w:tc>
          <w:tcPr>
            <w:tcW w:w="649" w:type="dxa"/>
            <w:vMerge w:val="restart"/>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总计</w:t>
            </w:r>
          </w:p>
        </w:tc>
        <w:tc>
          <w:tcPr>
            <w:tcW w:w="3248" w:type="dxa"/>
            <w:gridSpan w:val="5"/>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未经复议直接起诉</w:t>
            </w:r>
          </w:p>
        </w:tc>
        <w:tc>
          <w:tcPr>
            <w:tcW w:w="3255" w:type="dxa"/>
            <w:gridSpan w:val="5"/>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continue"/>
            <w:vAlign w:val="center"/>
          </w:tcPr>
          <w:p>
            <w:pPr>
              <w:widowControl/>
              <w:jc w:val="left"/>
              <w:rPr>
                <w:rFonts w:hint="default" w:ascii="Times New Roman" w:hAnsi="Times New Roman" w:eastAsia="仿宋_GB2312" w:cs="Times New Roman"/>
                <w:kern w:val="0"/>
                <w:sz w:val="24"/>
                <w:szCs w:val="24"/>
              </w:rPr>
            </w:pPr>
          </w:p>
        </w:tc>
        <w:tc>
          <w:tcPr>
            <w:tcW w:w="649" w:type="dxa"/>
            <w:vMerge w:val="continue"/>
            <w:vAlign w:val="center"/>
          </w:tcPr>
          <w:p>
            <w:pPr>
              <w:widowControl/>
              <w:jc w:val="left"/>
              <w:rPr>
                <w:rFonts w:hint="default" w:ascii="Times New Roman" w:hAnsi="Times New Roman" w:eastAsia="仿宋_GB2312" w:cs="Times New Roman"/>
                <w:kern w:val="0"/>
                <w:sz w:val="24"/>
                <w:szCs w:val="24"/>
              </w:rPr>
            </w:pPr>
          </w:p>
        </w:tc>
        <w:tc>
          <w:tcPr>
            <w:tcW w:w="649" w:type="dxa"/>
            <w:vMerge w:val="continue"/>
            <w:vAlign w:val="center"/>
          </w:tcPr>
          <w:p>
            <w:pPr>
              <w:widowControl/>
              <w:jc w:val="left"/>
              <w:rPr>
                <w:rFonts w:hint="default" w:ascii="Times New Roman" w:hAnsi="Times New Roman" w:eastAsia="仿宋_GB2312" w:cs="Times New Roman"/>
                <w:kern w:val="0"/>
                <w:sz w:val="24"/>
                <w:szCs w:val="24"/>
              </w:rPr>
            </w:pPr>
          </w:p>
        </w:tc>
        <w:tc>
          <w:tcPr>
            <w:tcW w:w="649" w:type="dxa"/>
            <w:vMerge w:val="continue"/>
            <w:vAlign w:val="center"/>
          </w:tcPr>
          <w:p>
            <w:pPr>
              <w:widowControl/>
              <w:jc w:val="left"/>
              <w:rPr>
                <w:rFonts w:hint="default" w:ascii="Times New Roman" w:hAnsi="Times New Roman" w:eastAsia="仿宋_GB2312" w:cs="Times New Roman"/>
                <w:kern w:val="0"/>
                <w:sz w:val="24"/>
                <w:szCs w:val="24"/>
              </w:rPr>
            </w:pPr>
          </w:p>
        </w:tc>
        <w:tc>
          <w:tcPr>
            <w:tcW w:w="649" w:type="dxa"/>
            <w:vMerge w:val="continue"/>
            <w:vAlign w:val="center"/>
          </w:tcPr>
          <w:p>
            <w:pPr>
              <w:widowControl/>
              <w:jc w:val="left"/>
              <w:rPr>
                <w:rFonts w:hint="default" w:ascii="Times New Roman" w:hAnsi="Times New Roman" w:eastAsia="仿宋_GB2312" w:cs="Times New Roman"/>
                <w:kern w:val="0"/>
                <w:sz w:val="24"/>
                <w:szCs w:val="24"/>
              </w:rPr>
            </w:pP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维持</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纠正</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其他</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结果</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尚未</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审结</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总计</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维持</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结果</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纠正</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其他</w:t>
            </w:r>
            <w:r>
              <w:rPr>
                <w:rFonts w:hint="default" w:ascii="Times New Roman" w:hAnsi="Times New Roman" w:eastAsia="仿宋_GB2312" w:cs="Times New Roman"/>
                <w:color w:val="000000"/>
                <w:kern w:val="0"/>
                <w:sz w:val="20"/>
                <w:szCs w:val="20"/>
              </w:rPr>
              <w:br w:type="textWrapping"/>
            </w:r>
            <w:r>
              <w:rPr>
                <w:rFonts w:hint="default" w:ascii="Times New Roman" w:hAnsi="Times New Roman" w:eastAsia="仿宋_GB2312" w:cs="Times New Roman"/>
                <w:color w:val="000000"/>
                <w:kern w:val="0"/>
                <w:sz w:val="20"/>
                <w:szCs w:val="20"/>
              </w:rPr>
              <w:t>结果</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rPr>
              <w:t>尚未</w:t>
            </w:r>
            <w:r>
              <w:rPr>
                <w:rFonts w:hint="default" w:ascii="Times New Roman" w:hAnsi="Times New Roman" w:eastAsia="仿宋_GB2312" w:cs="Times New Roman"/>
                <w:kern w:val="0"/>
                <w:sz w:val="20"/>
                <w:szCs w:val="20"/>
              </w:rPr>
              <w:br w:type="textWrapping"/>
            </w:r>
            <w:r>
              <w:rPr>
                <w:rFonts w:hint="default" w:ascii="Times New Roman" w:hAnsi="Times New Roman" w:eastAsia="仿宋_GB2312" w:cs="Times New Roman"/>
                <w:kern w:val="0"/>
                <w:sz w:val="20"/>
                <w:szCs w:val="20"/>
              </w:rPr>
              <w:t>审结</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color w:val="000000"/>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49"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0"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0"/>
                <w:szCs w:val="20"/>
                <w:lang w:val="en-US" w:eastAsia="zh-CN"/>
              </w:rPr>
              <w:t>0</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val="en-US" w:eastAsia="zh-CN"/>
              </w:rPr>
              <w:t>0</w:t>
            </w:r>
          </w:p>
        </w:tc>
        <w:tc>
          <w:tcPr>
            <w:tcW w:w="651" w:type="dxa"/>
            <w:tcMar>
              <w:top w:w="0" w:type="dxa"/>
              <w:left w:w="108" w:type="dxa"/>
              <w:bottom w:w="0" w:type="dxa"/>
              <w:right w:w="108" w:type="dxa"/>
            </w:tcMar>
            <w:vAlign w:val="center"/>
          </w:tcPr>
          <w:p>
            <w:pPr>
              <w:widowControl/>
              <w:jc w:val="center"/>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val="en-US" w:eastAsia="zh-CN"/>
              </w:rPr>
              <w:t>0</w:t>
            </w:r>
          </w:p>
        </w:tc>
      </w:tr>
    </w:tbl>
    <w:p>
      <w:pPr>
        <w:widowControl/>
        <w:shd w:val="clear" w:color="auto" w:fill="FFFFFF"/>
        <w:wordWrap/>
        <w:adjustRightInd/>
        <w:snapToGrid/>
        <w:spacing w:line="570" w:lineRule="exact"/>
        <w:ind w:left="0" w:leftChars="0" w:right="0" w:firstLine="542" w:firstLineChars="200"/>
        <w:jc w:val="both"/>
        <w:textAlignment w:val="auto"/>
        <w:outlineLvl w:val="9"/>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333333"/>
          <w:kern w:val="0"/>
          <w:sz w:val="27"/>
          <w:szCs w:val="27"/>
        </w:rPr>
        <w:t>五、存在的主要问题及改进情况</w:t>
      </w:r>
    </w:p>
    <w:p>
      <w:pPr>
        <w:widowControl w:val="0"/>
        <w:numPr>
          <w:ilvl w:val="0"/>
          <w:numId w:val="0"/>
        </w:numPr>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2023年仁和街道持续完善政府信息公开工作并取得了一些新进展，但对照新时代政务信息公开工作的有关要求以及群众的期待仍存在一些短板和不足，主要表现在：一是思想意识有待增强，部分科办（中心）对实行信息公开的重要意义认识不足；二是业务水平有待提升，信息公开质效有待进一步加强；三是公开内容有待完善，街道政务公开信息供给与群众需求在一定程度上还不相匹配，重点不够突出、不够全面。</w:t>
      </w:r>
    </w:p>
    <w:p>
      <w:pPr>
        <w:widowControl w:val="0"/>
        <w:numPr>
          <w:ilvl w:val="0"/>
          <w:numId w:val="0"/>
        </w:numPr>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针对当前存在的问题，下一步街道将着力做好以下工作：一是加强队伍建设。对街道工作人员，尤其是具体承办人员针对性开展专题培训，加强法律法规知识学习，使政务人员能够及时了解工作新要求，熟练掌握公开目录及平台操作，提高政务人员素质和工作水平，进一步提升信息公开质量。二是加大宣传力度。拓宽公开渠道，做到“应公开尽公开”。以社会需求为导向，选择公开民众关注度高的信息，提升信息公开内容的可读性和务实性。及时发布权威信息，确保信息公开工作宣传到位、落实到位，进一步提高公众对政府信息与政务公开工作的满意度。三是健全长效机制。进一步建立健全信息公开的各项制度，坚持公开原则的确定性与公开步骤的渐进性相结合，公开内容的真实性与公开形式的多样性相结合，规范内部操作流程，切实做好政府信息公开工作。</w:t>
      </w:r>
    </w:p>
    <w:p>
      <w:pPr>
        <w:widowControl/>
        <w:shd w:val="clear" w:color="auto" w:fill="FFFFFF"/>
        <w:wordWrap/>
        <w:adjustRightInd/>
        <w:snapToGrid/>
        <w:spacing w:line="570" w:lineRule="exact"/>
        <w:ind w:left="0" w:leftChars="0" w:right="0" w:firstLine="542" w:firstLineChars="200"/>
        <w:jc w:val="both"/>
        <w:textAlignment w:val="auto"/>
        <w:outlineLvl w:val="9"/>
        <w:rPr>
          <w:rFonts w:hint="default" w:ascii="Times New Roman" w:hAnsi="Times New Roman" w:eastAsia="仿宋_GB2312" w:cs="Times New Roman"/>
          <w:color w:val="333333"/>
          <w:kern w:val="0"/>
          <w:sz w:val="27"/>
          <w:szCs w:val="27"/>
        </w:rPr>
      </w:pPr>
      <w:r>
        <w:rPr>
          <w:rFonts w:hint="default" w:ascii="Times New Roman" w:hAnsi="Times New Roman" w:eastAsia="仿宋_GB2312" w:cs="Times New Roman"/>
          <w:b/>
          <w:bCs/>
          <w:color w:val="333333"/>
          <w:kern w:val="0"/>
          <w:sz w:val="27"/>
          <w:szCs w:val="27"/>
        </w:rPr>
        <w:t>六、其他需要报告的事项</w:t>
      </w:r>
    </w:p>
    <w:p>
      <w:pPr>
        <w:widowControl/>
        <w:shd w:val="clear" w:color="auto" w:fill="FFFFFF"/>
        <w:wordWrap/>
        <w:adjustRightInd/>
        <w:snapToGrid/>
        <w:spacing w:line="570" w:lineRule="exact"/>
        <w:ind w:left="0" w:leftChars="0" w:right="0" w:firstLine="560" w:firstLineChars="200"/>
        <w:jc w:val="both"/>
        <w:textAlignment w:val="auto"/>
        <w:outlineLvl w:val="9"/>
        <w:rPr>
          <w:rFonts w:hint="default" w:ascii="Times New Roman" w:hAnsi="Times New Roman" w:eastAsia="仿宋_GB2312" w:cs="Times New Roman"/>
          <w:b/>
          <w:bCs/>
          <w:i w:val="0"/>
          <w:iCs w:val="0"/>
          <w:caps w:val="0"/>
          <w:color w:val="auto"/>
          <w:spacing w:val="0"/>
          <w:sz w:val="28"/>
          <w:szCs w:val="28"/>
          <w:shd w:val="clear" w:color="0A0000" w:fill="FFFFFF"/>
          <w:lang w:val="en-US" w:eastAsia="zh-CN"/>
        </w:rPr>
      </w:pPr>
      <w:r>
        <w:rPr>
          <w:rFonts w:hint="default" w:ascii="Times New Roman" w:hAnsi="Times New Roman" w:eastAsia="仿宋_GB2312" w:cs="Times New Roman"/>
          <w:i w:val="0"/>
          <w:iCs w:val="0"/>
          <w:color w:val="auto"/>
          <w:kern w:val="0"/>
          <w:sz w:val="28"/>
          <w:szCs w:val="28"/>
        </w:rPr>
        <w:t>本单位</w:t>
      </w:r>
      <w:r>
        <w:rPr>
          <w:rFonts w:hint="default" w:ascii="Times New Roman" w:hAnsi="Times New Roman" w:eastAsia="仿宋_GB2312" w:cs="Times New Roman"/>
          <w:i w:val="0"/>
          <w:iCs w:val="0"/>
          <w:color w:val="auto"/>
          <w:kern w:val="0"/>
          <w:sz w:val="28"/>
          <w:szCs w:val="28"/>
          <w:lang w:val="en-US" w:eastAsia="zh-CN"/>
        </w:rPr>
        <w:t>2023</w:t>
      </w:r>
      <w:r>
        <w:rPr>
          <w:rFonts w:hint="default" w:ascii="Times New Roman" w:hAnsi="Times New Roman" w:eastAsia="仿宋_GB2312" w:cs="Times New Roman"/>
          <w:i w:val="0"/>
          <w:iCs w:val="0"/>
          <w:color w:val="auto"/>
          <w:kern w:val="0"/>
          <w:sz w:val="28"/>
          <w:szCs w:val="28"/>
        </w:rPr>
        <w:t>年未收取信息处理费。</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F03EF"/>
    <w:multiLevelType w:val="singleLevel"/>
    <w:tmpl w:val="E8CF03EF"/>
    <w:lvl w:ilvl="0" w:tentative="0">
      <w:start w:val="3"/>
      <w:numFmt w:val="chineseCounting"/>
      <w:suff w:val="nothing"/>
      <w:lvlText w:val="（%1）"/>
      <w:lvlJc w:val="left"/>
      <w:rPr>
        <w:rFonts w:hint="eastAsia"/>
      </w:rPr>
    </w:lvl>
  </w:abstractNum>
  <w:abstractNum w:abstractNumId="1">
    <w:nsid w:val="659CD665"/>
    <w:multiLevelType w:val="singleLevel"/>
    <w:tmpl w:val="659CD665"/>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2U3Y2NkZjdiMjlkZDY1ZDNmM2Q4MzYzZjdhMmY4ZTkifQ=="/>
  </w:docVars>
  <w:rsids>
    <w:rsidRoot w:val="00000000"/>
    <w:rsid w:val="00FF4AB2"/>
    <w:rsid w:val="021B0702"/>
    <w:rsid w:val="046163BD"/>
    <w:rsid w:val="05014C42"/>
    <w:rsid w:val="071568AB"/>
    <w:rsid w:val="0A293CBB"/>
    <w:rsid w:val="0ACA5A42"/>
    <w:rsid w:val="149E7662"/>
    <w:rsid w:val="150C5718"/>
    <w:rsid w:val="18347B85"/>
    <w:rsid w:val="18464840"/>
    <w:rsid w:val="18D34580"/>
    <w:rsid w:val="1EB02F65"/>
    <w:rsid w:val="1F9B4A39"/>
    <w:rsid w:val="20E06A7D"/>
    <w:rsid w:val="24A14D14"/>
    <w:rsid w:val="25BC7BF5"/>
    <w:rsid w:val="25C2024D"/>
    <w:rsid w:val="26AB5818"/>
    <w:rsid w:val="277F0B5A"/>
    <w:rsid w:val="27F22809"/>
    <w:rsid w:val="2C357514"/>
    <w:rsid w:val="2CF07C47"/>
    <w:rsid w:val="2FDF4FD9"/>
    <w:rsid w:val="303D4E30"/>
    <w:rsid w:val="3351443E"/>
    <w:rsid w:val="3AD0644B"/>
    <w:rsid w:val="3CFF16A1"/>
    <w:rsid w:val="3D4D7222"/>
    <w:rsid w:val="3D635B43"/>
    <w:rsid w:val="3D965098"/>
    <w:rsid w:val="3E0B5057"/>
    <w:rsid w:val="41AE0A50"/>
    <w:rsid w:val="439AE230"/>
    <w:rsid w:val="465E7A7F"/>
    <w:rsid w:val="47193A36"/>
    <w:rsid w:val="474C3E84"/>
    <w:rsid w:val="479E5E8D"/>
    <w:rsid w:val="480858BC"/>
    <w:rsid w:val="497C50C6"/>
    <w:rsid w:val="49932E45"/>
    <w:rsid w:val="49C25949"/>
    <w:rsid w:val="4D742AA0"/>
    <w:rsid w:val="4EE4617A"/>
    <w:rsid w:val="4F354C7F"/>
    <w:rsid w:val="50261E3F"/>
    <w:rsid w:val="56451B5C"/>
    <w:rsid w:val="58620690"/>
    <w:rsid w:val="5A04583D"/>
    <w:rsid w:val="5B71573F"/>
    <w:rsid w:val="5C533E08"/>
    <w:rsid w:val="5C80234E"/>
    <w:rsid w:val="5DB23A65"/>
    <w:rsid w:val="5DE55498"/>
    <w:rsid w:val="5F9D006D"/>
    <w:rsid w:val="60212844"/>
    <w:rsid w:val="620C5868"/>
    <w:rsid w:val="63F0428F"/>
    <w:rsid w:val="654C11BD"/>
    <w:rsid w:val="67FC31E0"/>
    <w:rsid w:val="69455B59"/>
    <w:rsid w:val="6AB23354"/>
    <w:rsid w:val="6AE362EB"/>
    <w:rsid w:val="6C167BEB"/>
    <w:rsid w:val="6D23681A"/>
    <w:rsid w:val="6D26085A"/>
    <w:rsid w:val="6ED674E5"/>
    <w:rsid w:val="70483B44"/>
    <w:rsid w:val="72AD6831"/>
    <w:rsid w:val="744359CE"/>
    <w:rsid w:val="75051CD3"/>
    <w:rsid w:val="75A17B08"/>
    <w:rsid w:val="77230004"/>
    <w:rsid w:val="784173A2"/>
    <w:rsid w:val="7A35410F"/>
    <w:rsid w:val="7B001259"/>
    <w:rsid w:val="7C12239B"/>
    <w:rsid w:val="7CB765E5"/>
    <w:rsid w:val="7EDFDECA"/>
    <w:rsid w:val="7F862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autoRedefine/>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1128</Words>
  <Characters>1222</Characters>
  <Lines>0</Lines>
  <Paragraphs>0</Paragraphs>
  <TotalTime>1</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2023-01-09T14:05:00Z</dcterms:created>
  <dc:creator>lenovo</dc:creator>
  <cp:lastModifiedBy>尹凯</cp:lastModifiedBy>
  <cp:lastPrinted>2024-01-09T15:49:00Z</cp:lastPrinted>
  <dcterms:modified xsi:type="dcterms:W3CDTF">2024-04-07T08:12:28Z</dcterms:modified>
  <dc:title>政府信息公开工作年度报告按照国办公开办函〔2021〕30号文件要求的统一格式发布，与往年年报内容不得雷同。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06EB3DCBAB1D49878785ADFE14E26523_13</vt:lpwstr>
  </property>
</Properties>
</file>