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4A1CD4">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0" w:firstLineChars="0"/>
        <w:jc w:val="center"/>
        <w:textAlignment w:val="auto"/>
        <w:outlineLvl w:val="9"/>
        <w:rPr>
          <w:rFonts w:hint="default" w:ascii="Times New Roman" w:hAnsi="Times New Roman" w:eastAsia="方正小标宋_GBK" w:cs="Times New Roman"/>
          <w:spacing w:val="0"/>
          <w:kern w:val="44"/>
          <w:sz w:val="44"/>
          <w:szCs w:val="44"/>
          <w:highlight w:val="none"/>
          <w:shd w:val="clear" w:color="auto" w:fill="auto"/>
          <w:lang w:val="en-US" w:eastAsia="zh-CN"/>
        </w:rPr>
      </w:pPr>
      <w:r>
        <w:rPr>
          <w:rFonts w:hint="eastAsia" w:eastAsia="方正小标宋_GBK" w:cs="Times New Roman"/>
          <w:spacing w:val="0"/>
          <w:kern w:val="44"/>
          <w:sz w:val="44"/>
          <w:szCs w:val="44"/>
          <w:highlight w:val="none"/>
          <w:shd w:val="clear" w:color="auto" w:fill="auto"/>
          <w:lang w:val="en-US" w:eastAsia="zh-CN"/>
        </w:rPr>
        <w:t>《</w:t>
      </w:r>
      <w:r>
        <w:rPr>
          <w:rFonts w:hint="default" w:ascii="Times New Roman" w:hAnsi="Times New Roman" w:eastAsia="方正小标宋_GBK" w:cs="Times New Roman"/>
          <w:spacing w:val="0"/>
          <w:kern w:val="44"/>
          <w:sz w:val="44"/>
          <w:szCs w:val="44"/>
          <w:highlight w:val="none"/>
          <w:shd w:val="clear" w:color="auto" w:fill="auto"/>
          <w:lang w:val="en-US" w:eastAsia="zh-CN"/>
        </w:rPr>
        <w:t>关于深化工业用地有机更新</w:t>
      </w:r>
      <w:r>
        <w:rPr>
          <w:rFonts w:hint="eastAsia" w:eastAsia="方正小标宋_GBK" w:cs="Times New Roman"/>
          <w:spacing w:val="0"/>
          <w:kern w:val="44"/>
          <w:sz w:val="44"/>
          <w:szCs w:val="44"/>
          <w:highlight w:val="none"/>
          <w:shd w:val="clear" w:color="auto" w:fill="auto"/>
          <w:lang w:val="en-US" w:eastAsia="zh-CN"/>
        </w:rPr>
        <w:t xml:space="preserve"> </w:t>
      </w:r>
      <w:r>
        <w:rPr>
          <w:rFonts w:hint="default" w:ascii="Times New Roman" w:hAnsi="Times New Roman" w:eastAsia="方正小标宋_GBK" w:cs="Times New Roman"/>
          <w:spacing w:val="0"/>
          <w:kern w:val="44"/>
          <w:sz w:val="44"/>
          <w:szCs w:val="44"/>
          <w:highlight w:val="none"/>
          <w:shd w:val="clear" w:color="auto" w:fill="auto"/>
          <w:lang w:val="en-US" w:eastAsia="zh-CN"/>
        </w:rPr>
        <w:t>加快产业发展能级提升的实施意见</w:t>
      </w:r>
      <w:r>
        <w:rPr>
          <w:rFonts w:hint="eastAsia" w:eastAsia="方正小标宋_GBK" w:cs="Times New Roman"/>
          <w:spacing w:val="0"/>
          <w:kern w:val="44"/>
          <w:sz w:val="44"/>
          <w:szCs w:val="44"/>
          <w:highlight w:val="none"/>
          <w:shd w:val="clear" w:color="auto" w:fill="auto"/>
          <w:lang w:val="en-US" w:eastAsia="zh-CN"/>
        </w:rPr>
        <w:t>（修订）》</w:t>
      </w:r>
    </w:p>
    <w:p w14:paraId="55FCB71C">
      <w:pPr>
        <w:pageBreakBefore w:val="0"/>
        <w:widowControl w:val="0"/>
        <w:kinsoku/>
        <w:wordWrap/>
        <w:overflowPunct/>
        <w:topLinePunct w:val="0"/>
        <w:autoSpaceDE/>
        <w:autoSpaceDN/>
        <w:bidi w:val="0"/>
        <w:adjustRightInd/>
        <w:snapToGrid/>
        <w:spacing w:beforeLines="0" w:afterLines="0" w:line="570" w:lineRule="exact"/>
        <w:ind w:left="0" w:leftChars="0" w:right="0" w:rightChars="0"/>
        <w:jc w:val="center"/>
        <w:textAlignment w:val="auto"/>
        <w:rPr>
          <w:rFonts w:hint="eastAsia" w:ascii="Times New Roman" w:hAnsi="Times New Roman" w:eastAsia="仿宋_GB2312" w:cs="Times New Roman"/>
          <w:bCs/>
          <w:color w:val="000000"/>
          <w:spacing w:val="0"/>
          <w:sz w:val="32"/>
          <w:szCs w:val="32"/>
          <w:highlight w:val="none"/>
          <w:shd w:val="clear" w:color="auto" w:fill="auto"/>
          <w:lang w:eastAsia="zh-CN"/>
        </w:rPr>
      </w:pPr>
    </w:p>
    <w:p w14:paraId="1A800DAD">
      <w:pPr>
        <w:pageBreakBefore w:val="0"/>
        <w:widowControl w:val="0"/>
        <w:kinsoku/>
        <w:wordWrap/>
        <w:overflowPunct/>
        <w:topLinePunct w:val="0"/>
        <w:autoSpaceDE/>
        <w:autoSpaceDN/>
        <w:bidi w:val="0"/>
        <w:adjustRightInd/>
        <w:snapToGrid/>
        <w:spacing w:beforeLines="0" w:afterLines="0" w:line="570" w:lineRule="exact"/>
        <w:ind w:left="0" w:leftChars="0" w:right="0" w:rightChars="0" w:firstLine="640" w:firstLineChars="200"/>
        <w:textAlignment w:val="auto"/>
        <w:rPr>
          <w:rFonts w:hint="default" w:ascii="Times New Roman" w:hAnsi="Times New Roman" w:eastAsia="仿宋_GB2312" w:cs="Times New Roman"/>
          <w:spacing w:val="0"/>
          <w:sz w:val="32"/>
          <w:szCs w:val="32"/>
          <w:highlight w:val="none"/>
          <w:shd w:val="clear" w:color="auto" w:fill="auto"/>
        </w:rPr>
      </w:pPr>
      <w:r>
        <w:rPr>
          <w:rFonts w:hint="default" w:ascii="Times New Roman" w:hAnsi="Times New Roman" w:eastAsia="仿宋_GB2312" w:cs="Times New Roman"/>
          <w:spacing w:val="0"/>
          <w:sz w:val="32"/>
          <w:szCs w:val="32"/>
          <w:highlight w:val="none"/>
          <w:shd w:val="clear" w:color="auto" w:fill="auto"/>
        </w:rPr>
        <w:t>为进一步提高土地资源节约集约利用水平，促进工业经济高质量发展，根据《浙江省人民政府关于全面推进城镇低效用地再开发工作的意见》</w:t>
      </w:r>
      <w:r>
        <w:rPr>
          <w:rFonts w:hint="default" w:ascii="Times New Roman" w:hAnsi="Times New Roman" w:cs="Times New Roman"/>
          <w:color w:val="000000"/>
          <w:spacing w:val="0"/>
          <w:sz w:val="32"/>
          <w:szCs w:val="32"/>
          <w:highlight w:val="none"/>
          <w:shd w:val="clear" w:color="auto" w:fill="auto"/>
        </w:rPr>
        <w:t>（</w:t>
      </w:r>
      <w:r>
        <w:rPr>
          <w:rFonts w:hint="default" w:ascii="Times New Roman" w:hAnsi="Times New Roman" w:eastAsia="仿宋_GB2312" w:cs="Times New Roman"/>
          <w:color w:val="000000"/>
          <w:spacing w:val="0"/>
          <w:sz w:val="32"/>
          <w:szCs w:val="32"/>
          <w:highlight w:val="none"/>
          <w:shd w:val="clear" w:color="auto" w:fill="auto"/>
        </w:rPr>
        <w:t>浙政发</w:t>
      </w:r>
      <w:r>
        <w:rPr>
          <w:rFonts w:hint="default" w:ascii="Times New Roman" w:hAnsi="Times New Roman" w:cs="Times New Roman"/>
          <w:color w:val="000000"/>
          <w:spacing w:val="0"/>
          <w:sz w:val="32"/>
          <w:szCs w:val="32"/>
          <w:highlight w:val="none"/>
          <w:shd w:val="clear" w:color="auto" w:fill="auto"/>
        </w:rPr>
        <w:t>〔2014〕20</w:t>
      </w:r>
      <w:r>
        <w:rPr>
          <w:rFonts w:hint="default" w:ascii="Times New Roman" w:hAnsi="Times New Roman" w:eastAsia="仿宋_GB2312" w:cs="Times New Roman"/>
          <w:color w:val="000000"/>
          <w:spacing w:val="0"/>
          <w:sz w:val="32"/>
          <w:szCs w:val="32"/>
          <w:highlight w:val="none"/>
          <w:shd w:val="clear" w:color="auto" w:fill="auto"/>
        </w:rPr>
        <w:t>号</w:t>
      </w:r>
      <w:r>
        <w:rPr>
          <w:rFonts w:hint="default" w:ascii="Times New Roman" w:hAnsi="Times New Roman" w:cs="Times New Roman"/>
          <w:color w:val="000000"/>
          <w:spacing w:val="0"/>
          <w:sz w:val="32"/>
          <w:szCs w:val="32"/>
          <w:highlight w:val="none"/>
          <w:shd w:val="clear" w:color="auto" w:fill="auto"/>
        </w:rPr>
        <w:t>）</w:t>
      </w:r>
      <w:r>
        <w:rPr>
          <w:rFonts w:hint="eastAsia" w:ascii="Times New Roman" w:hAnsi="Times New Roman" w:cs="Times New Roman"/>
          <w:color w:val="000000"/>
          <w:spacing w:val="0"/>
          <w:sz w:val="32"/>
          <w:szCs w:val="32"/>
          <w:highlight w:val="none"/>
          <w:shd w:val="clear" w:color="auto" w:fill="auto"/>
          <w:lang w:eastAsia="zh-CN"/>
        </w:rPr>
        <w:t>、</w:t>
      </w:r>
      <w:r>
        <w:rPr>
          <w:rFonts w:hint="default" w:ascii="Times New Roman" w:hAnsi="Times New Roman" w:eastAsia="仿宋_GB2312" w:cs="Times New Roman"/>
          <w:spacing w:val="0"/>
          <w:sz w:val="32"/>
          <w:szCs w:val="32"/>
          <w:highlight w:val="none"/>
          <w:shd w:val="clear" w:color="auto" w:fill="auto"/>
        </w:rPr>
        <w:t>《浙江省自然资源厅关于降低企业用地成本支持民营经济高质量发展的若干意见》</w:t>
      </w:r>
      <w:r>
        <w:rPr>
          <w:rFonts w:hint="default" w:ascii="Times New Roman" w:hAnsi="Times New Roman" w:cs="Times New Roman"/>
          <w:color w:val="000000"/>
          <w:spacing w:val="0"/>
          <w:sz w:val="32"/>
          <w:szCs w:val="32"/>
          <w:highlight w:val="none"/>
          <w:shd w:val="clear" w:color="auto" w:fill="auto"/>
        </w:rPr>
        <w:t>（</w:t>
      </w:r>
      <w:r>
        <w:rPr>
          <w:rFonts w:hint="default" w:ascii="Times New Roman" w:hAnsi="Times New Roman" w:eastAsia="仿宋_GB2312" w:cs="Times New Roman"/>
          <w:color w:val="000000"/>
          <w:spacing w:val="0"/>
          <w:sz w:val="32"/>
          <w:szCs w:val="32"/>
          <w:highlight w:val="none"/>
          <w:shd w:val="clear" w:color="auto" w:fill="auto"/>
        </w:rPr>
        <w:t>浙自然资规</w:t>
      </w:r>
      <w:r>
        <w:rPr>
          <w:rFonts w:hint="default" w:ascii="Times New Roman" w:hAnsi="Times New Roman" w:cs="Times New Roman"/>
          <w:color w:val="000000"/>
          <w:spacing w:val="0"/>
          <w:sz w:val="32"/>
          <w:szCs w:val="32"/>
          <w:highlight w:val="none"/>
          <w:shd w:val="clear" w:color="auto" w:fill="auto"/>
        </w:rPr>
        <w:t>〔2019〕3</w:t>
      </w:r>
      <w:r>
        <w:rPr>
          <w:rFonts w:hint="default" w:ascii="Times New Roman" w:hAnsi="Times New Roman" w:eastAsia="仿宋_GB2312" w:cs="Times New Roman"/>
          <w:color w:val="000000"/>
          <w:spacing w:val="0"/>
          <w:sz w:val="32"/>
          <w:szCs w:val="32"/>
          <w:highlight w:val="none"/>
          <w:shd w:val="clear" w:color="auto" w:fill="auto"/>
        </w:rPr>
        <w:t>号</w:t>
      </w:r>
      <w:r>
        <w:rPr>
          <w:rFonts w:hint="default" w:ascii="Times New Roman" w:hAnsi="Times New Roman" w:cs="Times New Roman"/>
          <w:color w:val="000000"/>
          <w:spacing w:val="0"/>
          <w:sz w:val="32"/>
          <w:szCs w:val="32"/>
          <w:highlight w:val="none"/>
          <w:shd w:val="clear" w:color="auto" w:fill="auto"/>
        </w:rPr>
        <w:t>）</w:t>
      </w:r>
      <w:r>
        <w:rPr>
          <w:rFonts w:hint="eastAsia" w:ascii="Times New Roman" w:hAnsi="Times New Roman" w:cs="Times New Roman"/>
          <w:color w:val="000000"/>
          <w:spacing w:val="0"/>
          <w:sz w:val="32"/>
          <w:szCs w:val="32"/>
          <w:highlight w:val="none"/>
          <w:shd w:val="clear" w:color="auto" w:fill="auto"/>
          <w:lang w:eastAsia="zh-CN"/>
        </w:rPr>
        <w:t>、</w:t>
      </w:r>
      <w:r>
        <w:rPr>
          <w:rFonts w:hint="default" w:ascii="Times New Roman" w:hAnsi="Times New Roman" w:eastAsia="仿宋_GB2312" w:cs="Times New Roman"/>
          <w:spacing w:val="0"/>
          <w:sz w:val="32"/>
          <w:szCs w:val="32"/>
          <w:highlight w:val="none"/>
          <w:shd w:val="clear" w:color="auto" w:fill="auto"/>
        </w:rPr>
        <w:t>《市委市政府关于实施“新制造业计划”推进高质量发展的若干意见》</w:t>
      </w:r>
      <w:r>
        <w:rPr>
          <w:rFonts w:hint="default" w:ascii="Times New Roman" w:hAnsi="Times New Roman" w:cs="Times New Roman"/>
          <w:color w:val="000000"/>
          <w:spacing w:val="0"/>
          <w:sz w:val="32"/>
          <w:szCs w:val="32"/>
          <w:highlight w:val="none"/>
          <w:shd w:val="clear" w:color="auto" w:fill="auto"/>
        </w:rPr>
        <w:t>（</w:t>
      </w:r>
      <w:r>
        <w:rPr>
          <w:rFonts w:hint="default" w:ascii="Times New Roman" w:hAnsi="Times New Roman" w:eastAsia="仿宋_GB2312" w:cs="Times New Roman"/>
          <w:color w:val="000000"/>
          <w:spacing w:val="0"/>
          <w:sz w:val="32"/>
          <w:szCs w:val="32"/>
          <w:highlight w:val="none"/>
          <w:shd w:val="clear" w:color="auto" w:fill="auto"/>
        </w:rPr>
        <w:t>市委</w:t>
      </w:r>
      <w:r>
        <w:rPr>
          <w:rFonts w:hint="default" w:ascii="Times New Roman" w:hAnsi="Times New Roman" w:cs="Times New Roman"/>
          <w:color w:val="000000"/>
          <w:spacing w:val="0"/>
          <w:sz w:val="32"/>
          <w:szCs w:val="32"/>
          <w:highlight w:val="none"/>
          <w:shd w:val="clear" w:color="auto" w:fill="auto"/>
        </w:rPr>
        <w:t>〔2019〕17</w:t>
      </w:r>
      <w:r>
        <w:rPr>
          <w:rFonts w:hint="default" w:ascii="Times New Roman" w:hAnsi="Times New Roman" w:eastAsia="仿宋_GB2312" w:cs="Times New Roman"/>
          <w:color w:val="000000"/>
          <w:spacing w:val="0"/>
          <w:sz w:val="32"/>
          <w:szCs w:val="32"/>
          <w:highlight w:val="none"/>
          <w:shd w:val="clear" w:color="auto" w:fill="auto"/>
        </w:rPr>
        <w:t>号</w:t>
      </w:r>
      <w:r>
        <w:rPr>
          <w:rFonts w:hint="default" w:ascii="Times New Roman" w:hAnsi="Times New Roman" w:cs="Times New Roman"/>
          <w:color w:val="000000"/>
          <w:spacing w:val="0"/>
          <w:sz w:val="32"/>
          <w:szCs w:val="32"/>
          <w:highlight w:val="none"/>
          <w:shd w:val="clear" w:color="auto" w:fill="auto"/>
        </w:rPr>
        <w:t>）</w:t>
      </w:r>
      <w:r>
        <w:rPr>
          <w:rFonts w:hint="eastAsia" w:ascii="Times New Roman" w:hAnsi="Times New Roman" w:cs="Times New Roman"/>
          <w:color w:val="000000"/>
          <w:spacing w:val="0"/>
          <w:sz w:val="32"/>
          <w:szCs w:val="32"/>
          <w:highlight w:val="none"/>
          <w:shd w:val="clear" w:color="auto" w:fill="auto"/>
          <w:lang w:eastAsia="zh-CN"/>
        </w:rPr>
        <w:t>、《杭州市人民政府办公厅关于印发杭州市推进低效用地</w:t>
      </w:r>
      <w:r>
        <w:rPr>
          <w:rFonts w:hint="eastAsia" w:cs="Times New Roman"/>
          <w:color w:val="000000"/>
          <w:spacing w:val="0"/>
          <w:sz w:val="32"/>
          <w:szCs w:val="32"/>
          <w:highlight w:val="none"/>
          <w:shd w:val="clear" w:color="auto" w:fill="auto"/>
          <w:lang w:eastAsia="zh-CN"/>
        </w:rPr>
        <w:t>再</w:t>
      </w:r>
      <w:r>
        <w:rPr>
          <w:rFonts w:hint="eastAsia" w:ascii="Times New Roman" w:hAnsi="Times New Roman" w:cs="Times New Roman"/>
          <w:color w:val="000000"/>
          <w:spacing w:val="0"/>
          <w:sz w:val="32"/>
          <w:szCs w:val="32"/>
          <w:highlight w:val="none"/>
          <w:shd w:val="clear" w:color="auto" w:fill="auto"/>
          <w:lang w:eastAsia="zh-CN"/>
        </w:rPr>
        <w:t>开发试点工作实施方案的通知》</w:t>
      </w:r>
      <w:r>
        <w:rPr>
          <w:rFonts w:hint="default" w:ascii="Times New Roman" w:hAnsi="Times New Roman" w:cs="Times New Roman"/>
          <w:color w:val="000000"/>
          <w:spacing w:val="0"/>
          <w:sz w:val="32"/>
          <w:szCs w:val="32"/>
          <w:highlight w:val="none"/>
          <w:shd w:val="clear" w:color="auto" w:fill="auto"/>
        </w:rPr>
        <w:t>（</w:t>
      </w:r>
      <w:r>
        <w:rPr>
          <w:rFonts w:hint="eastAsia" w:ascii="Times New Roman" w:hAnsi="Times New Roman" w:cs="Times New Roman"/>
          <w:color w:val="000000"/>
          <w:spacing w:val="0"/>
          <w:sz w:val="32"/>
          <w:szCs w:val="32"/>
          <w:highlight w:val="none"/>
          <w:shd w:val="clear" w:color="auto" w:fill="auto"/>
          <w:lang w:eastAsia="zh-CN"/>
        </w:rPr>
        <w:t>杭政办函</w:t>
      </w:r>
      <w:r>
        <w:rPr>
          <w:rFonts w:hint="default" w:ascii="Times New Roman" w:hAnsi="Times New Roman" w:cs="Times New Roman"/>
          <w:color w:val="000000"/>
          <w:spacing w:val="0"/>
          <w:sz w:val="32"/>
          <w:szCs w:val="32"/>
          <w:highlight w:val="none"/>
          <w:shd w:val="clear" w:color="auto" w:fill="auto"/>
        </w:rPr>
        <w:t>〔20</w:t>
      </w:r>
      <w:r>
        <w:rPr>
          <w:rFonts w:hint="eastAsia" w:ascii="Times New Roman" w:hAnsi="Times New Roman" w:cs="Times New Roman"/>
          <w:color w:val="000000"/>
          <w:spacing w:val="0"/>
          <w:sz w:val="32"/>
          <w:szCs w:val="32"/>
          <w:highlight w:val="none"/>
          <w:shd w:val="clear" w:color="auto" w:fill="auto"/>
          <w:lang w:val="en-US" w:eastAsia="zh-CN"/>
        </w:rPr>
        <w:t>24</w:t>
      </w:r>
      <w:r>
        <w:rPr>
          <w:rFonts w:hint="default" w:ascii="Times New Roman" w:hAnsi="Times New Roman" w:cs="Times New Roman"/>
          <w:color w:val="000000"/>
          <w:spacing w:val="0"/>
          <w:sz w:val="32"/>
          <w:szCs w:val="32"/>
          <w:highlight w:val="none"/>
          <w:shd w:val="clear" w:color="auto" w:fill="auto"/>
        </w:rPr>
        <w:t>〕</w:t>
      </w:r>
      <w:r>
        <w:rPr>
          <w:rFonts w:hint="eastAsia" w:ascii="Times New Roman" w:hAnsi="Times New Roman" w:cs="Times New Roman"/>
          <w:color w:val="000000"/>
          <w:spacing w:val="0"/>
          <w:sz w:val="32"/>
          <w:szCs w:val="32"/>
          <w:highlight w:val="none"/>
          <w:shd w:val="clear" w:color="auto" w:fill="auto"/>
          <w:lang w:val="en-US" w:eastAsia="zh-CN"/>
        </w:rPr>
        <w:t>2</w:t>
      </w:r>
      <w:r>
        <w:rPr>
          <w:rFonts w:hint="default" w:ascii="Times New Roman" w:hAnsi="Times New Roman" w:eastAsia="仿宋_GB2312" w:cs="Times New Roman"/>
          <w:color w:val="000000"/>
          <w:spacing w:val="0"/>
          <w:sz w:val="32"/>
          <w:szCs w:val="32"/>
          <w:highlight w:val="none"/>
          <w:shd w:val="clear" w:color="auto" w:fill="auto"/>
        </w:rPr>
        <w:t>号</w:t>
      </w:r>
      <w:r>
        <w:rPr>
          <w:rFonts w:hint="default" w:ascii="Times New Roman" w:hAnsi="Times New Roman" w:cs="Times New Roman"/>
          <w:color w:val="000000"/>
          <w:spacing w:val="0"/>
          <w:sz w:val="32"/>
          <w:szCs w:val="32"/>
          <w:highlight w:val="none"/>
          <w:shd w:val="clear" w:color="auto" w:fill="auto"/>
        </w:rPr>
        <w:t>）</w:t>
      </w:r>
      <w:r>
        <w:rPr>
          <w:rFonts w:hint="default" w:ascii="Times New Roman" w:hAnsi="Times New Roman" w:eastAsia="仿宋_GB2312" w:cs="Times New Roman"/>
          <w:spacing w:val="0"/>
          <w:sz w:val="32"/>
          <w:szCs w:val="32"/>
          <w:highlight w:val="none"/>
          <w:shd w:val="clear" w:color="auto" w:fill="auto"/>
        </w:rPr>
        <w:t>等文件精神，按照全省制造业高质量发展大会和新一轮制造业“腾笼换鸟、凤凰涅槃”推进大会工作要求，现就加快盘活存量工业用地，全面推进工业用地有机更新提出如下意见：</w:t>
      </w:r>
    </w:p>
    <w:p w14:paraId="14BB68ED">
      <w:pPr>
        <w:pageBreakBefore w:val="0"/>
        <w:widowControl w:val="0"/>
        <w:kinsoku/>
        <w:wordWrap/>
        <w:overflowPunct/>
        <w:topLinePunct w:val="0"/>
        <w:autoSpaceDE/>
        <w:autoSpaceDN/>
        <w:bidi w:val="0"/>
        <w:adjustRightInd/>
        <w:snapToGrid/>
        <w:spacing w:beforeLines="0" w:afterLines="0" w:line="570" w:lineRule="exact"/>
        <w:ind w:left="0" w:leftChars="0" w:right="0" w:rightChars="0" w:firstLine="640" w:firstLineChars="200"/>
        <w:textAlignment w:val="auto"/>
        <w:rPr>
          <w:rFonts w:hint="default" w:ascii="Times New Roman" w:hAnsi="Times New Roman" w:cs="Times New Roman"/>
          <w:b/>
          <w:bCs/>
          <w:color w:val="000000"/>
          <w:spacing w:val="0"/>
          <w:sz w:val="32"/>
          <w:szCs w:val="32"/>
          <w:highlight w:val="none"/>
          <w:shd w:val="clear" w:color="auto" w:fill="auto"/>
        </w:rPr>
      </w:pPr>
      <w:r>
        <w:rPr>
          <w:rFonts w:hint="default" w:ascii="Times New Roman" w:hAnsi="Times New Roman" w:eastAsia="黑体" w:cs="Times New Roman"/>
          <w:bCs/>
          <w:color w:val="000000"/>
          <w:spacing w:val="0"/>
          <w:sz w:val="32"/>
          <w:szCs w:val="32"/>
          <w:highlight w:val="none"/>
          <w:shd w:val="clear" w:color="auto" w:fill="auto"/>
        </w:rPr>
        <w:t>一、</w:t>
      </w:r>
      <w:r>
        <w:rPr>
          <w:rFonts w:hint="eastAsia" w:ascii="Times New Roman" w:hAnsi="Times New Roman" w:eastAsia="黑体" w:cs="Times New Roman"/>
          <w:bCs/>
          <w:color w:val="000000"/>
          <w:spacing w:val="0"/>
          <w:sz w:val="32"/>
          <w:szCs w:val="32"/>
          <w:highlight w:val="none"/>
          <w:shd w:val="clear" w:color="auto" w:fill="auto"/>
          <w:lang w:val="en-US" w:eastAsia="zh-CN"/>
        </w:rPr>
        <w:t>总体要求</w:t>
      </w:r>
    </w:p>
    <w:p w14:paraId="04A44FA8">
      <w:pPr>
        <w:pageBreakBefore w:val="0"/>
        <w:widowControl w:val="0"/>
        <w:kinsoku/>
        <w:wordWrap/>
        <w:overflowPunct/>
        <w:topLinePunct w:val="0"/>
        <w:autoSpaceDE/>
        <w:autoSpaceDN/>
        <w:bidi w:val="0"/>
        <w:adjustRightInd/>
        <w:snapToGrid/>
        <w:spacing w:beforeLines="0" w:afterLines="0" w:line="570" w:lineRule="exact"/>
        <w:ind w:left="0" w:leftChars="0" w:right="0" w:rightChars="0" w:firstLine="640" w:firstLineChars="200"/>
        <w:textAlignment w:val="auto"/>
        <w:rPr>
          <w:rFonts w:hint="default" w:ascii="Times New Roman" w:hAnsi="Times New Roman" w:cs="Times New Roman"/>
          <w:color w:val="000000"/>
          <w:spacing w:val="0"/>
          <w:sz w:val="32"/>
          <w:szCs w:val="32"/>
          <w:highlight w:val="none"/>
          <w:shd w:val="clear" w:color="auto" w:fill="auto"/>
        </w:rPr>
      </w:pPr>
      <w:r>
        <w:rPr>
          <w:rFonts w:hint="default" w:ascii="Times New Roman" w:hAnsi="Times New Roman" w:eastAsia="仿宋_GB2312" w:cs="Times New Roman"/>
          <w:spacing w:val="0"/>
          <w:sz w:val="32"/>
          <w:szCs w:val="32"/>
          <w:highlight w:val="none"/>
          <w:shd w:val="clear" w:color="auto" w:fill="auto"/>
        </w:rPr>
        <w:t>以习近平新时代中国特色社会主义思想为指导，全面贯彻落实党的二十大</w:t>
      </w:r>
      <w:r>
        <w:rPr>
          <w:rFonts w:hint="eastAsia" w:ascii="Times New Roman" w:hAnsi="Times New Roman" w:cs="Times New Roman"/>
          <w:spacing w:val="0"/>
          <w:sz w:val="32"/>
          <w:szCs w:val="32"/>
          <w:highlight w:val="none"/>
          <w:shd w:val="clear" w:color="auto" w:fill="auto"/>
          <w:lang w:val="en-US" w:eastAsia="zh-CN"/>
        </w:rPr>
        <w:t>、</w:t>
      </w:r>
      <w:r>
        <w:rPr>
          <w:rFonts w:hint="default" w:ascii="Times New Roman" w:hAnsi="Times New Roman" w:eastAsia="仿宋_GB2312" w:cs="Times New Roman"/>
          <w:spacing w:val="0"/>
          <w:sz w:val="32"/>
          <w:szCs w:val="32"/>
          <w:highlight w:val="none"/>
          <w:shd w:val="clear" w:color="auto" w:fill="auto"/>
        </w:rPr>
        <w:t>二十届</w:t>
      </w:r>
      <w:r>
        <w:rPr>
          <w:rFonts w:hint="eastAsia" w:cs="Times New Roman"/>
          <w:spacing w:val="0"/>
          <w:sz w:val="32"/>
          <w:szCs w:val="32"/>
          <w:highlight w:val="none"/>
          <w:shd w:val="clear" w:color="auto" w:fill="auto"/>
          <w:lang w:eastAsia="zh-CN"/>
        </w:rPr>
        <w:t>二中</w:t>
      </w:r>
      <w:r>
        <w:rPr>
          <w:rFonts w:hint="default" w:ascii="Times New Roman" w:hAnsi="Times New Roman" w:eastAsia="仿宋_GB2312" w:cs="Times New Roman"/>
          <w:spacing w:val="0"/>
          <w:sz w:val="32"/>
          <w:szCs w:val="32"/>
          <w:highlight w:val="none"/>
          <w:shd w:val="clear" w:color="auto" w:fill="auto"/>
        </w:rPr>
        <w:t>全会和</w:t>
      </w:r>
      <w:r>
        <w:rPr>
          <w:rFonts w:hint="eastAsia" w:ascii="Times New Roman" w:hAnsi="Times New Roman" w:cs="Times New Roman"/>
          <w:spacing w:val="0"/>
          <w:sz w:val="32"/>
          <w:szCs w:val="32"/>
          <w:highlight w:val="none"/>
          <w:shd w:val="clear" w:color="auto" w:fill="auto"/>
          <w:lang w:eastAsia="zh-CN"/>
        </w:rPr>
        <w:t>习近平总书记在浙江考察时的重要讲话精神</w:t>
      </w:r>
      <w:r>
        <w:rPr>
          <w:rFonts w:hint="eastAsia" w:ascii="Times New Roman" w:hAnsi="Times New Roman" w:cs="Times New Roman"/>
          <w:spacing w:val="0"/>
          <w:sz w:val="32"/>
          <w:szCs w:val="32"/>
          <w:highlight w:val="none"/>
          <w:shd w:val="clear" w:color="auto" w:fill="auto"/>
          <w:lang w:val="en-US" w:eastAsia="zh-CN"/>
        </w:rPr>
        <w:t>和省委省政府工作要求</w:t>
      </w:r>
      <w:r>
        <w:rPr>
          <w:rFonts w:hint="default" w:ascii="Times New Roman" w:hAnsi="Times New Roman" w:eastAsia="仿宋_GB2312" w:cs="Times New Roman"/>
          <w:spacing w:val="0"/>
          <w:sz w:val="32"/>
          <w:szCs w:val="32"/>
          <w:highlight w:val="none"/>
          <w:shd w:val="clear" w:color="auto" w:fill="auto"/>
        </w:rPr>
        <w:t>，加快数字经济和制造业融合发展，聚焦</w:t>
      </w:r>
      <w:r>
        <w:rPr>
          <w:rFonts w:hint="eastAsia" w:ascii="Times New Roman" w:hAnsi="Times New Roman" w:cs="Times New Roman"/>
          <w:spacing w:val="0"/>
          <w:sz w:val="32"/>
          <w:szCs w:val="32"/>
          <w:highlight w:val="none"/>
          <w:shd w:val="clear" w:color="auto" w:fill="auto"/>
          <w:lang w:val="en-US" w:eastAsia="zh-CN"/>
        </w:rPr>
        <w:t>低效整治</w:t>
      </w:r>
      <w:r>
        <w:rPr>
          <w:rFonts w:hint="default" w:ascii="Times New Roman" w:hAnsi="Times New Roman" w:eastAsia="仿宋_GB2312" w:cs="Times New Roman"/>
          <w:spacing w:val="0"/>
          <w:sz w:val="32"/>
          <w:szCs w:val="32"/>
          <w:highlight w:val="none"/>
          <w:shd w:val="clear" w:color="auto" w:fill="auto"/>
        </w:rPr>
        <w:t>、创新强工、招大</w:t>
      </w:r>
      <w:bookmarkStart w:id="0" w:name="_GoBack"/>
      <w:bookmarkEnd w:id="0"/>
      <w:r>
        <w:rPr>
          <w:rFonts w:hint="default" w:ascii="Times New Roman" w:hAnsi="Times New Roman" w:eastAsia="仿宋_GB2312" w:cs="Times New Roman"/>
          <w:spacing w:val="0"/>
          <w:sz w:val="32"/>
          <w:szCs w:val="32"/>
          <w:highlight w:val="none"/>
          <w:shd w:val="clear" w:color="auto" w:fill="auto"/>
        </w:rPr>
        <w:t>引强、质量提升，坚持提质扩量增效，坚定不移推进“腾笼换鸟、凤凰涅槃”攻坚行动，使余杭经济高质量发展</w:t>
      </w:r>
      <w:r>
        <w:rPr>
          <w:rFonts w:hint="eastAsia" w:ascii="Times New Roman" w:hAnsi="Times New Roman" w:cs="Times New Roman"/>
          <w:spacing w:val="0"/>
          <w:sz w:val="32"/>
          <w:szCs w:val="32"/>
          <w:highlight w:val="none"/>
          <w:shd w:val="clear" w:color="auto" w:fill="auto"/>
          <w:lang w:val="en-US" w:eastAsia="zh-CN"/>
        </w:rPr>
        <w:t>始终</w:t>
      </w:r>
      <w:r>
        <w:rPr>
          <w:rFonts w:hint="default" w:ascii="Times New Roman" w:hAnsi="Times New Roman" w:eastAsia="仿宋_GB2312" w:cs="Times New Roman"/>
          <w:spacing w:val="0"/>
          <w:sz w:val="32"/>
          <w:szCs w:val="32"/>
          <w:highlight w:val="none"/>
          <w:shd w:val="clear" w:color="auto" w:fill="auto"/>
        </w:rPr>
        <w:t>走在全省前列，全力争当浙江省建设“重要窗口”排头兵。</w:t>
      </w:r>
    </w:p>
    <w:p w14:paraId="5AFDF50C">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left="0" w:leftChars="0" w:right="0" w:rightChars="0" w:firstLine="640" w:firstLineChars="200"/>
        <w:jc w:val="both"/>
        <w:textAlignment w:val="auto"/>
        <w:outlineLvl w:val="9"/>
        <w:rPr>
          <w:rFonts w:hint="default" w:ascii="Times New Roman" w:hAnsi="Times New Roman" w:eastAsia="黑体" w:cs="Times New Roman"/>
          <w:bCs/>
          <w:color w:val="000000"/>
          <w:spacing w:val="0"/>
          <w:sz w:val="32"/>
          <w:szCs w:val="32"/>
          <w:highlight w:val="none"/>
          <w:shd w:val="clear" w:color="auto" w:fill="auto"/>
        </w:rPr>
      </w:pPr>
      <w:r>
        <w:rPr>
          <w:rFonts w:hint="eastAsia" w:ascii="Times New Roman" w:hAnsi="Times New Roman" w:eastAsia="黑体" w:cs="Times New Roman"/>
          <w:bCs/>
          <w:color w:val="000000"/>
          <w:spacing w:val="0"/>
          <w:sz w:val="32"/>
          <w:szCs w:val="32"/>
          <w:highlight w:val="none"/>
          <w:shd w:val="clear" w:color="auto" w:fill="auto"/>
          <w:lang w:val="en-US" w:eastAsia="zh-CN"/>
        </w:rPr>
        <w:t>二、</w:t>
      </w:r>
      <w:r>
        <w:rPr>
          <w:rFonts w:hint="default" w:ascii="Times New Roman" w:hAnsi="Times New Roman" w:eastAsia="黑体" w:cs="Times New Roman"/>
          <w:bCs/>
          <w:color w:val="000000"/>
          <w:spacing w:val="0"/>
          <w:sz w:val="32"/>
          <w:szCs w:val="32"/>
          <w:highlight w:val="none"/>
          <w:shd w:val="clear" w:color="auto" w:fill="auto"/>
        </w:rPr>
        <w:t>基本原则</w:t>
      </w:r>
    </w:p>
    <w:p w14:paraId="62E0436B">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left="0" w:leftChars="0" w:right="0" w:rightChars="0" w:firstLine="640" w:firstLineChars="200"/>
        <w:jc w:val="both"/>
        <w:textAlignment w:val="auto"/>
        <w:outlineLvl w:val="9"/>
        <w:rPr>
          <w:rFonts w:hint="default" w:ascii="Times New Roman" w:hAnsi="Times New Roman" w:eastAsia="仿宋_GB2312" w:cs="Times New Roman"/>
          <w:spacing w:val="0"/>
          <w:sz w:val="32"/>
          <w:szCs w:val="32"/>
          <w:highlight w:val="none"/>
          <w:shd w:val="clear" w:color="auto" w:fill="auto"/>
        </w:rPr>
      </w:pPr>
      <w:r>
        <w:rPr>
          <w:rFonts w:hint="eastAsia" w:ascii="Times New Roman" w:hAnsi="Times New Roman" w:eastAsia="楷体_GB2312" w:cs="Times New Roman"/>
          <w:b w:val="0"/>
          <w:bCs/>
          <w:color w:val="000000"/>
          <w:spacing w:val="0"/>
          <w:sz w:val="32"/>
          <w:szCs w:val="32"/>
          <w:highlight w:val="none"/>
          <w:shd w:val="clear" w:color="auto" w:fill="auto"/>
          <w:lang w:eastAsia="zh-CN"/>
        </w:rPr>
        <w:t>（</w:t>
      </w:r>
      <w:r>
        <w:rPr>
          <w:rFonts w:hint="eastAsia" w:ascii="Times New Roman" w:hAnsi="Times New Roman" w:eastAsia="楷体_GB2312" w:cs="Times New Roman"/>
          <w:b w:val="0"/>
          <w:bCs/>
          <w:color w:val="000000"/>
          <w:spacing w:val="0"/>
          <w:sz w:val="32"/>
          <w:szCs w:val="32"/>
          <w:highlight w:val="none"/>
          <w:shd w:val="clear" w:color="auto" w:fill="auto"/>
          <w:lang w:val="en-US" w:eastAsia="zh-CN"/>
        </w:rPr>
        <w:t>一</w:t>
      </w:r>
      <w:r>
        <w:rPr>
          <w:rFonts w:hint="eastAsia" w:ascii="Times New Roman" w:hAnsi="Times New Roman" w:eastAsia="楷体_GB2312" w:cs="Times New Roman"/>
          <w:b w:val="0"/>
          <w:bCs/>
          <w:color w:val="000000"/>
          <w:spacing w:val="0"/>
          <w:sz w:val="32"/>
          <w:szCs w:val="32"/>
          <w:highlight w:val="none"/>
          <w:shd w:val="clear" w:color="auto" w:fill="auto"/>
          <w:lang w:eastAsia="zh-CN"/>
        </w:rPr>
        <w:t>）</w:t>
      </w:r>
      <w:r>
        <w:rPr>
          <w:rFonts w:hint="default" w:ascii="Times New Roman" w:hAnsi="Times New Roman" w:eastAsia="楷体_GB2312" w:cs="Times New Roman"/>
          <w:b w:val="0"/>
          <w:bCs/>
          <w:color w:val="000000"/>
          <w:spacing w:val="0"/>
          <w:sz w:val="32"/>
          <w:szCs w:val="32"/>
          <w:highlight w:val="none"/>
          <w:shd w:val="clear" w:color="auto" w:fill="auto"/>
        </w:rPr>
        <w:t>政府主导，</w:t>
      </w:r>
      <w:r>
        <w:rPr>
          <w:rFonts w:hint="eastAsia" w:ascii="Times New Roman" w:hAnsi="Times New Roman" w:eastAsia="楷体_GB2312" w:cs="Times New Roman"/>
          <w:b w:val="0"/>
          <w:bCs/>
          <w:color w:val="000000"/>
          <w:spacing w:val="0"/>
          <w:sz w:val="32"/>
          <w:szCs w:val="32"/>
          <w:highlight w:val="none"/>
          <w:shd w:val="clear" w:color="auto" w:fill="auto"/>
          <w:lang w:eastAsia="zh-CN"/>
        </w:rPr>
        <w:t>落实方案</w:t>
      </w:r>
      <w:r>
        <w:rPr>
          <w:rFonts w:hint="default" w:ascii="Times New Roman" w:hAnsi="Times New Roman" w:eastAsia="楷体_GB2312" w:cs="Times New Roman"/>
          <w:b w:val="0"/>
          <w:bCs/>
          <w:color w:val="000000"/>
          <w:spacing w:val="0"/>
          <w:sz w:val="32"/>
          <w:szCs w:val="32"/>
          <w:highlight w:val="none"/>
          <w:shd w:val="clear" w:color="auto" w:fill="auto"/>
        </w:rPr>
        <w:t>。</w:t>
      </w:r>
      <w:r>
        <w:rPr>
          <w:rFonts w:hint="default" w:ascii="Times New Roman" w:hAnsi="Times New Roman" w:eastAsia="仿宋_GB2312" w:cs="Times New Roman"/>
          <w:spacing w:val="0"/>
          <w:sz w:val="32"/>
          <w:szCs w:val="32"/>
          <w:highlight w:val="none"/>
          <w:shd w:val="clear" w:color="auto" w:fill="auto"/>
        </w:rPr>
        <w:t>建立健全政府主导、部门协同、市场参与的工作机制，进一步强化政府统筹和主导作用，保障产业空间。依据国土空间规划、主体功能区规划和产业发展规划等</w:t>
      </w:r>
      <w:r>
        <w:rPr>
          <w:rFonts w:hint="eastAsia" w:ascii="Times New Roman" w:hAnsi="Times New Roman" w:cs="Times New Roman"/>
          <w:spacing w:val="0"/>
          <w:sz w:val="32"/>
          <w:szCs w:val="32"/>
          <w:highlight w:val="none"/>
          <w:shd w:val="clear" w:color="auto" w:fill="auto"/>
          <w:lang w:eastAsia="zh-CN"/>
        </w:rPr>
        <w:t>，</w:t>
      </w:r>
      <w:r>
        <w:rPr>
          <w:rFonts w:hint="eastAsia" w:ascii="Times New Roman" w:hAnsi="Times New Roman" w:cs="Times New Roman"/>
          <w:spacing w:val="0"/>
          <w:sz w:val="32"/>
          <w:szCs w:val="32"/>
          <w:highlight w:val="none"/>
          <w:shd w:val="clear" w:color="auto" w:fill="auto"/>
          <w:lang w:val="en-US" w:eastAsia="zh-CN"/>
        </w:rPr>
        <w:t>科学高效落实</w:t>
      </w:r>
      <w:r>
        <w:rPr>
          <w:rFonts w:hint="eastAsia" w:ascii="Times New Roman" w:hAnsi="Times New Roman" w:cs="Times New Roman"/>
          <w:spacing w:val="0"/>
          <w:sz w:val="32"/>
          <w:szCs w:val="32"/>
          <w:highlight w:val="none"/>
          <w:shd w:val="clear" w:color="auto" w:fill="auto"/>
          <w:lang w:eastAsia="zh-CN"/>
        </w:rPr>
        <w:t>各工业区块有机更新实施方案的</w:t>
      </w:r>
      <w:r>
        <w:rPr>
          <w:rFonts w:hint="eastAsia" w:ascii="Times New Roman" w:hAnsi="Times New Roman" w:cs="Times New Roman"/>
          <w:spacing w:val="0"/>
          <w:sz w:val="32"/>
          <w:szCs w:val="32"/>
          <w:highlight w:val="none"/>
          <w:shd w:val="clear" w:color="auto" w:fill="auto"/>
          <w:lang w:val="en-US" w:eastAsia="zh-CN"/>
        </w:rPr>
        <w:t>实施</w:t>
      </w:r>
      <w:r>
        <w:rPr>
          <w:rFonts w:hint="eastAsia" w:ascii="Times New Roman" w:hAnsi="Times New Roman" w:cs="Times New Roman"/>
          <w:spacing w:val="0"/>
          <w:sz w:val="32"/>
          <w:szCs w:val="32"/>
          <w:highlight w:val="none"/>
          <w:shd w:val="clear" w:color="auto" w:fill="auto"/>
          <w:lang w:eastAsia="zh-CN"/>
        </w:rPr>
        <w:t>，扎实推进有机更新</w:t>
      </w:r>
      <w:r>
        <w:rPr>
          <w:rFonts w:hint="default" w:ascii="Times New Roman" w:hAnsi="Times New Roman" w:eastAsia="仿宋_GB2312" w:cs="Times New Roman"/>
          <w:spacing w:val="0"/>
          <w:sz w:val="32"/>
          <w:szCs w:val="32"/>
          <w:highlight w:val="none"/>
          <w:shd w:val="clear" w:color="auto" w:fill="auto"/>
        </w:rPr>
        <w:t>。</w:t>
      </w:r>
    </w:p>
    <w:p w14:paraId="3AA8BBB9">
      <w:pPr>
        <w:pageBreakBefore w:val="0"/>
        <w:widowControl w:val="0"/>
        <w:numPr>
          <w:ilvl w:val="0"/>
          <w:numId w:val="0"/>
        </w:numPr>
        <w:kinsoku/>
        <w:wordWrap/>
        <w:overflowPunct/>
        <w:topLinePunct w:val="0"/>
        <w:autoSpaceDE/>
        <w:autoSpaceDN/>
        <w:bidi w:val="0"/>
        <w:adjustRightInd/>
        <w:snapToGrid/>
        <w:spacing w:beforeLines="0" w:afterLines="0" w:line="570" w:lineRule="exact"/>
        <w:ind w:left="0" w:leftChars="0" w:right="0" w:rightChars="0" w:firstLine="640" w:firstLineChars="200"/>
        <w:textAlignment w:val="auto"/>
        <w:rPr>
          <w:rFonts w:hint="default" w:ascii="Times New Roman" w:hAnsi="Times New Roman" w:cs="Times New Roman"/>
          <w:color w:val="000000"/>
          <w:spacing w:val="0"/>
          <w:sz w:val="32"/>
          <w:szCs w:val="32"/>
          <w:highlight w:val="none"/>
          <w:shd w:val="clear" w:color="auto" w:fill="auto"/>
        </w:rPr>
      </w:pPr>
      <w:r>
        <w:rPr>
          <w:rFonts w:hint="default" w:ascii="Times New Roman" w:hAnsi="Times New Roman" w:eastAsia="楷体_GB2312" w:cs="Times New Roman"/>
          <w:b w:val="0"/>
          <w:bCs w:val="0"/>
          <w:color w:val="000000"/>
          <w:spacing w:val="0"/>
          <w:sz w:val="32"/>
          <w:szCs w:val="32"/>
          <w:highlight w:val="none"/>
          <w:shd w:val="clear" w:color="auto" w:fill="auto"/>
        </w:rPr>
        <w:t>（二）</w:t>
      </w:r>
      <w:r>
        <w:rPr>
          <w:rFonts w:hint="default" w:ascii="Times New Roman" w:hAnsi="Times New Roman" w:eastAsia="楷体_GB2312" w:cs="Times New Roman"/>
          <w:b w:val="0"/>
          <w:bCs/>
          <w:color w:val="000000"/>
          <w:spacing w:val="0"/>
          <w:sz w:val="32"/>
          <w:szCs w:val="32"/>
          <w:highlight w:val="none"/>
          <w:shd w:val="clear" w:color="auto" w:fill="auto"/>
        </w:rPr>
        <w:t>因地制宜，</w:t>
      </w:r>
      <w:r>
        <w:rPr>
          <w:rFonts w:hint="eastAsia" w:ascii="Times New Roman" w:hAnsi="Times New Roman" w:eastAsia="楷体_GB2312" w:cs="Times New Roman"/>
          <w:b w:val="0"/>
          <w:bCs w:val="0"/>
          <w:color w:val="000000"/>
          <w:spacing w:val="0"/>
          <w:sz w:val="32"/>
          <w:szCs w:val="32"/>
          <w:highlight w:val="none"/>
          <w:shd w:val="clear" w:color="auto" w:fill="auto"/>
          <w:lang w:val="en-US" w:eastAsia="zh-CN"/>
        </w:rPr>
        <w:t>全面推进。</w:t>
      </w:r>
      <w:r>
        <w:rPr>
          <w:rFonts w:hint="default" w:ascii="Times New Roman" w:hAnsi="Times New Roman" w:eastAsia="仿宋_GB2312" w:cs="Times New Roman"/>
          <w:spacing w:val="0"/>
          <w:sz w:val="32"/>
          <w:szCs w:val="32"/>
          <w:highlight w:val="none"/>
          <w:shd w:val="clear" w:color="auto" w:fill="auto"/>
        </w:rPr>
        <w:t>结合各</w:t>
      </w:r>
      <w:r>
        <w:rPr>
          <w:rFonts w:hint="eastAsia" w:ascii="Times New Roman" w:hAnsi="Times New Roman" w:cs="Times New Roman"/>
          <w:spacing w:val="0"/>
          <w:sz w:val="32"/>
          <w:szCs w:val="32"/>
          <w:highlight w:val="none"/>
          <w:shd w:val="clear" w:color="auto" w:fill="auto"/>
          <w:lang w:val="en-US" w:eastAsia="zh-CN"/>
        </w:rPr>
        <w:t>工业区块</w:t>
      </w:r>
      <w:r>
        <w:rPr>
          <w:rFonts w:hint="default" w:ascii="Times New Roman" w:hAnsi="Times New Roman" w:eastAsia="仿宋_GB2312" w:cs="Times New Roman"/>
          <w:spacing w:val="0"/>
          <w:sz w:val="32"/>
          <w:szCs w:val="32"/>
          <w:highlight w:val="none"/>
          <w:shd w:val="clear" w:color="auto" w:fill="auto"/>
        </w:rPr>
        <w:t>实际，按照“3+N”工业用地有机更新模式</w:t>
      </w:r>
      <w:r>
        <w:rPr>
          <w:rFonts w:hint="eastAsia" w:ascii="Times New Roman" w:hAnsi="Times New Roman" w:cs="Times New Roman"/>
          <w:spacing w:val="0"/>
          <w:sz w:val="32"/>
          <w:szCs w:val="32"/>
          <w:highlight w:val="none"/>
          <w:shd w:val="clear" w:color="auto" w:fill="auto"/>
          <w:lang w:eastAsia="zh-CN"/>
        </w:rPr>
        <w:t>，</w:t>
      </w:r>
      <w:r>
        <w:rPr>
          <w:rFonts w:hint="eastAsia" w:ascii="Times New Roman" w:hAnsi="Times New Roman" w:cs="Times New Roman"/>
          <w:spacing w:val="0"/>
          <w:sz w:val="32"/>
          <w:szCs w:val="32"/>
          <w:highlight w:val="none"/>
          <w:shd w:val="clear" w:color="auto" w:fill="auto"/>
          <w:lang w:val="en-US" w:eastAsia="zh-CN"/>
        </w:rPr>
        <w:t>全面宣传，深入发动有机更新相关政策，加快推进有机更新项目实施，按</w:t>
      </w:r>
      <w:r>
        <w:rPr>
          <w:rFonts w:hint="default" w:ascii="Times New Roman" w:hAnsi="Times New Roman" w:eastAsia="仿宋_GB2312" w:cs="Times New Roman"/>
          <w:spacing w:val="0"/>
          <w:sz w:val="32"/>
          <w:szCs w:val="32"/>
          <w:highlight w:val="none"/>
          <w:shd w:val="clear" w:color="auto" w:fill="auto"/>
        </w:rPr>
        <w:t>“成熟一个实施一个”的方式，实现工业用地有机更新</w:t>
      </w:r>
      <w:r>
        <w:rPr>
          <w:rFonts w:hint="eastAsia" w:ascii="Times New Roman" w:hAnsi="Times New Roman" w:cs="Times New Roman"/>
          <w:spacing w:val="0"/>
          <w:sz w:val="32"/>
          <w:szCs w:val="32"/>
          <w:highlight w:val="none"/>
          <w:shd w:val="clear" w:color="auto" w:fill="auto"/>
          <w:lang w:val="en-US" w:eastAsia="zh-CN"/>
        </w:rPr>
        <w:t>项目在余杭区各工业区块</w:t>
      </w:r>
      <w:r>
        <w:rPr>
          <w:rFonts w:hint="default" w:ascii="Times New Roman" w:hAnsi="Times New Roman" w:eastAsia="仿宋_GB2312" w:cs="Times New Roman"/>
          <w:spacing w:val="0"/>
          <w:sz w:val="32"/>
          <w:szCs w:val="32"/>
          <w:highlight w:val="none"/>
          <w:shd w:val="clear" w:color="auto" w:fill="auto"/>
        </w:rPr>
        <w:t>全覆盖。</w:t>
      </w:r>
    </w:p>
    <w:p w14:paraId="1536490D">
      <w:pPr>
        <w:pageBreakBefore w:val="0"/>
        <w:widowControl w:val="0"/>
        <w:kinsoku/>
        <w:wordWrap/>
        <w:overflowPunct/>
        <w:topLinePunct w:val="0"/>
        <w:autoSpaceDE/>
        <w:autoSpaceDN/>
        <w:bidi w:val="0"/>
        <w:adjustRightInd/>
        <w:snapToGrid/>
        <w:spacing w:beforeLines="0" w:afterLines="0" w:line="570" w:lineRule="exact"/>
        <w:ind w:left="0" w:leftChars="0" w:right="0" w:rightChars="0" w:firstLine="640" w:firstLineChars="200"/>
        <w:textAlignment w:val="auto"/>
        <w:rPr>
          <w:rFonts w:hint="default" w:ascii="Times New Roman" w:hAnsi="Times New Roman" w:eastAsia="仿宋_GB2312" w:cs="Times New Roman"/>
          <w:spacing w:val="0"/>
          <w:sz w:val="32"/>
          <w:szCs w:val="32"/>
          <w:highlight w:val="none"/>
          <w:shd w:val="clear" w:color="auto" w:fill="auto"/>
        </w:rPr>
      </w:pPr>
      <w:r>
        <w:rPr>
          <w:rFonts w:hint="default" w:ascii="Times New Roman" w:hAnsi="Times New Roman" w:eastAsia="楷体_GB2312" w:cs="Times New Roman"/>
          <w:b w:val="0"/>
          <w:bCs w:val="0"/>
          <w:color w:val="000000"/>
          <w:spacing w:val="0"/>
          <w:sz w:val="32"/>
          <w:szCs w:val="32"/>
          <w:highlight w:val="none"/>
          <w:shd w:val="clear" w:color="auto" w:fill="auto"/>
        </w:rPr>
        <w:t>（三）</w:t>
      </w:r>
      <w:r>
        <w:rPr>
          <w:rFonts w:hint="default" w:ascii="Times New Roman" w:hAnsi="Times New Roman" w:eastAsia="楷体_GB2312" w:cs="Times New Roman"/>
          <w:b w:val="0"/>
          <w:bCs/>
          <w:color w:val="000000"/>
          <w:spacing w:val="0"/>
          <w:sz w:val="32"/>
          <w:szCs w:val="32"/>
          <w:highlight w:val="none"/>
          <w:shd w:val="clear" w:color="auto" w:fill="auto"/>
        </w:rPr>
        <w:t>分类指导</w:t>
      </w:r>
      <w:r>
        <w:rPr>
          <w:rFonts w:hint="eastAsia" w:ascii="Times New Roman" w:hAnsi="Times New Roman" w:eastAsia="楷体_GB2312" w:cs="Times New Roman"/>
          <w:b w:val="0"/>
          <w:bCs w:val="0"/>
          <w:color w:val="000000"/>
          <w:spacing w:val="0"/>
          <w:sz w:val="32"/>
          <w:szCs w:val="32"/>
          <w:highlight w:val="none"/>
          <w:shd w:val="clear" w:color="auto" w:fill="auto"/>
          <w:lang w:val="en-US" w:eastAsia="zh-CN"/>
        </w:rPr>
        <w:t>，</w:t>
      </w:r>
      <w:r>
        <w:rPr>
          <w:rFonts w:hint="default" w:ascii="Times New Roman" w:hAnsi="Times New Roman" w:eastAsia="楷体_GB2312" w:cs="Times New Roman"/>
          <w:b w:val="0"/>
          <w:color w:val="000000"/>
          <w:spacing w:val="0"/>
          <w:sz w:val="32"/>
          <w:szCs w:val="32"/>
          <w:highlight w:val="none"/>
          <w:shd w:val="clear" w:color="auto" w:fill="auto"/>
        </w:rPr>
        <w:t>管理规范。</w:t>
      </w:r>
      <w:r>
        <w:rPr>
          <w:rFonts w:hint="default" w:ascii="Times New Roman" w:hAnsi="Times New Roman" w:eastAsia="仿宋_GB2312" w:cs="Times New Roman"/>
          <w:spacing w:val="0"/>
          <w:sz w:val="32"/>
          <w:szCs w:val="32"/>
          <w:highlight w:val="none"/>
          <w:shd w:val="clear" w:color="auto" w:fill="auto"/>
        </w:rPr>
        <w:t>允许土地权利人、国有经济组织或其他符合条件的市场主体参与工业用地有机更新，区分情况、分类处理，充分调动社会各方的积极性，创新性地开展工作。健全完善履约监管机制，强化信息共享、相互衔接、协同配合，营造公平有序的土地市场环境，让各方共享工业用地有机更新成果。</w:t>
      </w:r>
    </w:p>
    <w:p w14:paraId="521FDB97">
      <w:pPr>
        <w:pageBreakBefore w:val="0"/>
        <w:widowControl w:val="0"/>
        <w:kinsoku/>
        <w:wordWrap/>
        <w:overflowPunct/>
        <w:topLinePunct w:val="0"/>
        <w:autoSpaceDE/>
        <w:autoSpaceDN/>
        <w:bidi w:val="0"/>
        <w:adjustRightInd/>
        <w:snapToGrid/>
        <w:spacing w:beforeLines="0" w:afterLines="0" w:line="570" w:lineRule="exact"/>
        <w:ind w:left="0" w:leftChars="0" w:right="0" w:rightChars="0" w:firstLine="640" w:firstLineChars="200"/>
        <w:textAlignment w:val="auto"/>
        <w:rPr>
          <w:rFonts w:hint="default" w:ascii="Times New Roman" w:hAnsi="Times New Roman" w:eastAsia="楷体" w:cs="Times New Roman"/>
          <w:b/>
          <w:color w:val="000000"/>
          <w:spacing w:val="0"/>
          <w:sz w:val="32"/>
          <w:szCs w:val="32"/>
          <w:highlight w:val="none"/>
          <w:shd w:val="clear" w:color="auto" w:fill="auto"/>
        </w:rPr>
      </w:pPr>
      <w:r>
        <w:rPr>
          <w:rFonts w:hint="default" w:ascii="Times New Roman" w:hAnsi="Times New Roman" w:eastAsia="黑体" w:cs="Times New Roman"/>
          <w:bCs/>
          <w:color w:val="000000"/>
          <w:spacing w:val="0"/>
          <w:sz w:val="32"/>
          <w:szCs w:val="32"/>
          <w:highlight w:val="none"/>
          <w:shd w:val="clear" w:color="auto" w:fill="auto"/>
        </w:rPr>
        <w:t>三、</w:t>
      </w:r>
      <w:r>
        <w:rPr>
          <w:rFonts w:hint="eastAsia" w:ascii="Times New Roman" w:hAnsi="Times New Roman" w:eastAsia="黑体" w:cs="Times New Roman"/>
          <w:bCs/>
          <w:color w:val="000000"/>
          <w:spacing w:val="0"/>
          <w:sz w:val="32"/>
          <w:szCs w:val="32"/>
          <w:highlight w:val="none"/>
          <w:shd w:val="clear" w:color="auto" w:fill="auto"/>
          <w:lang w:val="en-US" w:eastAsia="zh-CN"/>
        </w:rPr>
        <w:t>主要</w:t>
      </w:r>
      <w:r>
        <w:rPr>
          <w:rFonts w:hint="default" w:ascii="Times New Roman" w:hAnsi="Times New Roman" w:eastAsia="黑体" w:cs="Times New Roman"/>
          <w:bCs/>
          <w:color w:val="000000"/>
          <w:spacing w:val="0"/>
          <w:sz w:val="32"/>
          <w:szCs w:val="32"/>
          <w:highlight w:val="none"/>
          <w:shd w:val="clear" w:color="auto" w:fill="auto"/>
        </w:rPr>
        <w:t>目标</w:t>
      </w:r>
    </w:p>
    <w:p w14:paraId="19D9FA3F">
      <w:pPr>
        <w:pageBreakBefore w:val="0"/>
        <w:widowControl w:val="0"/>
        <w:kinsoku/>
        <w:wordWrap/>
        <w:overflowPunct/>
        <w:topLinePunct w:val="0"/>
        <w:autoSpaceDE/>
        <w:autoSpaceDN/>
        <w:bidi w:val="0"/>
        <w:adjustRightInd/>
        <w:snapToGrid/>
        <w:spacing w:beforeLines="0" w:afterLines="0" w:line="570" w:lineRule="exact"/>
        <w:ind w:left="0" w:leftChars="0" w:right="0" w:rightChars="0" w:firstLine="640" w:firstLineChars="200"/>
        <w:textAlignment w:val="auto"/>
        <w:rPr>
          <w:rFonts w:hint="default" w:ascii="Times New Roman" w:hAnsi="Times New Roman" w:eastAsia="仿宋_GB2312" w:cs="Times New Roman"/>
          <w:spacing w:val="0"/>
          <w:sz w:val="32"/>
          <w:szCs w:val="32"/>
          <w:highlight w:val="none"/>
          <w:shd w:val="clear" w:color="auto" w:fill="auto"/>
        </w:rPr>
      </w:pPr>
      <w:r>
        <w:rPr>
          <w:rFonts w:hint="default" w:ascii="Times New Roman" w:hAnsi="Times New Roman" w:eastAsia="楷体_GB2312" w:cs="Times New Roman"/>
          <w:b w:val="0"/>
          <w:bCs w:val="0"/>
          <w:color w:val="000000"/>
          <w:spacing w:val="0"/>
          <w:sz w:val="32"/>
          <w:szCs w:val="32"/>
          <w:highlight w:val="none"/>
          <w:shd w:val="clear" w:color="auto" w:fill="auto"/>
        </w:rPr>
        <w:t>（一）</w:t>
      </w:r>
      <w:r>
        <w:rPr>
          <w:rFonts w:hint="default" w:ascii="Times New Roman" w:hAnsi="Times New Roman" w:eastAsia="楷体_GB2312" w:cs="Times New Roman"/>
          <w:b w:val="0"/>
          <w:color w:val="000000"/>
          <w:spacing w:val="0"/>
          <w:sz w:val="32"/>
          <w:szCs w:val="32"/>
          <w:highlight w:val="none"/>
          <w:shd w:val="clear" w:color="auto" w:fill="auto"/>
        </w:rPr>
        <w:t>优化城市功能形态。</w:t>
      </w:r>
      <w:r>
        <w:rPr>
          <w:rFonts w:hint="default" w:ascii="Times New Roman" w:hAnsi="Times New Roman" w:eastAsia="仿宋_GB2312" w:cs="Times New Roman"/>
          <w:spacing w:val="0"/>
          <w:sz w:val="32"/>
          <w:szCs w:val="32"/>
          <w:highlight w:val="none"/>
          <w:shd w:val="clear" w:color="auto" w:fill="auto"/>
        </w:rPr>
        <w:t>以“产城融合”为引领，树立整体提升观念，协同做好产业、环境与服务配套，统筹生产、生活、生态布局，大力实施供地与供楼相结合的空间保障方式，打造“形态好、功能优”的都市型工业，推动存量工业用地有效盘活，产业空间供给得到有效增加。力争</w:t>
      </w:r>
      <w:r>
        <w:rPr>
          <w:rFonts w:hint="eastAsia" w:ascii="Times New Roman" w:hAnsi="Times New Roman" w:cs="Times New Roman"/>
          <w:spacing w:val="0"/>
          <w:sz w:val="32"/>
          <w:szCs w:val="32"/>
          <w:highlight w:val="none"/>
          <w:shd w:val="clear" w:color="auto" w:fill="auto"/>
          <w:lang w:val="en-US" w:eastAsia="zh-CN"/>
        </w:rPr>
        <w:t>到2026</w:t>
      </w:r>
      <w:r>
        <w:rPr>
          <w:rFonts w:hint="default" w:ascii="Times New Roman" w:hAnsi="Times New Roman" w:eastAsia="仿宋_GB2312" w:cs="Times New Roman"/>
          <w:spacing w:val="0"/>
          <w:sz w:val="32"/>
          <w:szCs w:val="32"/>
          <w:highlight w:val="none"/>
          <w:shd w:val="clear" w:color="auto" w:fill="auto"/>
        </w:rPr>
        <w:t>年有机更新工业用地</w:t>
      </w:r>
      <w:r>
        <w:rPr>
          <w:rFonts w:hint="eastAsia" w:ascii="Times New Roman" w:hAnsi="Times New Roman" w:cs="Times New Roman"/>
          <w:spacing w:val="0"/>
          <w:sz w:val="32"/>
          <w:szCs w:val="32"/>
          <w:highlight w:val="none"/>
          <w:shd w:val="clear" w:color="auto" w:fill="auto"/>
          <w:lang w:val="en-US" w:eastAsia="zh-CN"/>
        </w:rPr>
        <w:t>5</w:t>
      </w:r>
      <w:r>
        <w:rPr>
          <w:rFonts w:hint="default" w:ascii="Times New Roman" w:hAnsi="Times New Roman" w:eastAsia="仿宋_GB2312" w:cs="Times New Roman"/>
          <w:spacing w:val="0"/>
          <w:sz w:val="32"/>
          <w:szCs w:val="32"/>
          <w:highlight w:val="none"/>
          <w:shd w:val="clear" w:color="auto" w:fill="auto"/>
        </w:rPr>
        <w:t>000亩，</w:t>
      </w:r>
      <w:r>
        <w:rPr>
          <w:rFonts w:hint="eastAsia" w:ascii="Times New Roman" w:hAnsi="Times New Roman" w:cs="Times New Roman"/>
          <w:spacing w:val="0"/>
          <w:sz w:val="32"/>
          <w:szCs w:val="32"/>
          <w:highlight w:val="none"/>
          <w:shd w:val="clear" w:color="auto" w:fill="auto"/>
          <w:lang w:eastAsia="zh-CN"/>
        </w:rPr>
        <w:t>改扩建</w:t>
      </w:r>
      <w:r>
        <w:rPr>
          <w:rFonts w:hint="default" w:ascii="Times New Roman" w:hAnsi="Times New Roman" w:eastAsia="仿宋_GB2312" w:cs="Times New Roman"/>
          <w:spacing w:val="0"/>
          <w:sz w:val="32"/>
          <w:szCs w:val="32"/>
          <w:highlight w:val="none"/>
          <w:shd w:val="clear" w:color="auto" w:fill="auto"/>
        </w:rPr>
        <w:t>产业空间</w:t>
      </w:r>
      <w:r>
        <w:rPr>
          <w:rFonts w:hint="eastAsia" w:ascii="Times New Roman" w:hAnsi="Times New Roman" w:cs="Times New Roman"/>
          <w:spacing w:val="0"/>
          <w:sz w:val="32"/>
          <w:szCs w:val="32"/>
          <w:highlight w:val="none"/>
          <w:shd w:val="clear" w:color="auto" w:fill="auto"/>
          <w:lang w:val="en-US" w:eastAsia="zh-CN"/>
        </w:rPr>
        <w:t>6</w:t>
      </w:r>
      <w:r>
        <w:rPr>
          <w:rFonts w:hint="default" w:ascii="Times New Roman" w:hAnsi="Times New Roman" w:eastAsia="仿宋_GB2312" w:cs="Times New Roman"/>
          <w:spacing w:val="0"/>
          <w:sz w:val="32"/>
          <w:szCs w:val="32"/>
          <w:highlight w:val="none"/>
          <w:shd w:val="clear" w:color="auto" w:fill="auto"/>
        </w:rPr>
        <w:t>00万平方米。</w:t>
      </w:r>
    </w:p>
    <w:p w14:paraId="0489C997">
      <w:pPr>
        <w:pageBreakBefore w:val="0"/>
        <w:widowControl w:val="0"/>
        <w:kinsoku/>
        <w:wordWrap/>
        <w:overflowPunct/>
        <w:topLinePunct w:val="0"/>
        <w:autoSpaceDE/>
        <w:autoSpaceDN/>
        <w:bidi w:val="0"/>
        <w:adjustRightInd/>
        <w:snapToGrid/>
        <w:spacing w:beforeLines="0" w:afterLines="0" w:line="570" w:lineRule="exact"/>
        <w:ind w:left="0" w:leftChars="0" w:right="0" w:rightChars="0" w:firstLine="640" w:firstLineChars="200"/>
        <w:textAlignment w:val="auto"/>
        <w:rPr>
          <w:rFonts w:hint="default" w:ascii="Times New Roman" w:hAnsi="Times New Roman" w:eastAsia="仿宋_GB2312" w:cs="Times New Roman"/>
          <w:spacing w:val="0"/>
          <w:sz w:val="32"/>
          <w:szCs w:val="32"/>
          <w:highlight w:val="none"/>
          <w:shd w:val="clear" w:color="auto" w:fill="auto"/>
        </w:rPr>
      </w:pPr>
      <w:r>
        <w:rPr>
          <w:rFonts w:hint="default" w:ascii="Times New Roman" w:hAnsi="Times New Roman" w:eastAsia="楷体_GB2312" w:cs="Times New Roman"/>
          <w:b w:val="0"/>
          <w:bCs w:val="0"/>
          <w:color w:val="000000"/>
          <w:spacing w:val="0"/>
          <w:sz w:val="32"/>
          <w:szCs w:val="32"/>
          <w:highlight w:val="none"/>
          <w:shd w:val="clear" w:color="auto" w:fill="auto"/>
        </w:rPr>
        <w:t>（二）</w:t>
      </w:r>
      <w:r>
        <w:rPr>
          <w:rFonts w:hint="default" w:ascii="Times New Roman" w:hAnsi="Times New Roman" w:eastAsia="楷体_GB2312" w:cs="Times New Roman"/>
          <w:b w:val="0"/>
          <w:color w:val="000000"/>
          <w:spacing w:val="0"/>
          <w:sz w:val="32"/>
          <w:szCs w:val="32"/>
          <w:highlight w:val="none"/>
          <w:shd w:val="clear" w:color="auto" w:fill="auto"/>
        </w:rPr>
        <w:t>提升产业发展质量。</w:t>
      </w:r>
      <w:r>
        <w:rPr>
          <w:rFonts w:hint="default" w:ascii="Times New Roman" w:hAnsi="Times New Roman" w:eastAsia="仿宋_GB2312" w:cs="Times New Roman"/>
          <w:spacing w:val="0"/>
          <w:sz w:val="32"/>
          <w:szCs w:val="32"/>
          <w:highlight w:val="none"/>
          <w:shd w:val="clear" w:color="auto" w:fill="auto"/>
        </w:rPr>
        <w:t>深入推进制造业</w:t>
      </w:r>
      <w:r>
        <w:rPr>
          <w:rFonts w:hint="eastAsia" w:ascii="Times New Roman" w:hAnsi="Times New Roman" w:cs="Times New Roman"/>
          <w:spacing w:val="0"/>
          <w:sz w:val="32"/>
          <w:szCs w:val="32"/>
          <w:highlight w:val="none"/>
          <w:shd w:val="clear" w:color="auto" w:fill="auto"/>
          <w:lang w:val="en-US" w:eastAsia="zh-CN"/>
        </w:rPr>
        <w:t>质效变革和特色集群培育工程</w:t>
      </w:r>
      <w:r>
        <w:rPr>
          <w:rFonts w:hint="default" w:ascii="Times New Roman" w:hAnsi="Times New Roman" w:eastAsia="仿宋_GB2312" w:cs="Times New Roman"/>
          <w:spacing w:val="0"/>
          <w:sz w:val="32"/>
          <w:szCs w:val="32"/>
          <w:highlight w:val="none"/>
          <w:shd w:val="clear" w:color="auto" w:fill="auto"/>
        </w:rPr>
        <w:t>，打造以技术、标准、品牌、服务</w:t>
      </w:r>
      <w:r>
        <w:rPr>
          <w:rFonts w:hint="eastAsia" w:ascii="Times New Roman" w:hAnsi="Times New Roman" w:cs="Times New Roman"/>
          <w:spacing w:val="0"/>
          <w:sz w:val="32"/>
          <w:szCs w:val="32"/>
          <w:highlight w:val="none"/>
          <w:shd w:val="clear" w:color="auto" w:fill="auto"/>
          <w:lang w:val="en-US" w:eastAsia="zh-CN"/>
        </w:rPr>
        <w:t>为</w:t>
      </w:r>
      <w:r>
        <w:rPr>
          <w:rFonts w:hint="default" w:ascii="Times New Roman" w:hAnsi="Times New Roman" w:eastAsia="仿宋_GB2312" w:cs="Times New Roman"/>
          <w:spacing w:val="0"/>
          <w:sz w:val="32"/>
          <w:szCs w:val="32"/>
          <w:highlight w:val="none"/>
          <w:shd w:val="clear" w:color="auto" w:fill="auto"/>
        </w:rPr>
        <w:t>核心</w:t>
      </w:r>
      <w:r>
        <w:rPr>
          <w:rFonts w:hint="eastAsia" w:ascii="Times New Roman" w:hAnsi="Times New Roman" w:cs="Times New Roman"/>
          <w:spacing w:val="0"/>
          <w:sz w:val="32"/>
          <w:szCs w:val="32"/>
          <w:highlight w:val="none"/>
          <w:shd w:val="clear" w:color="auto" w:fill="auto"/>
          <w:lang w:val="en-US" w:eastAsia="zh-CN"/>
        </w:rPr>
        <w:t>的质量</w:t>
      </w:r>
      <w:r>
        <w:rPr>
          <w:rFonts w:hint="default" w:ascii="Times New Roman" w:hAnsi="Times New Roman" w:eastAsia="仿宋_GB2312" w:cs="Times New Roman"/>
          <w:spacing w:val="0"/>
          <w:sz w:val="32"/>
          <w:szCs w:val="32"/>
          <w:highlight w:val="none"/>
          <w:shd w:val="clear" w:color="auto" w:fill="auto"/>
        </w:rPr>
        <w:t>优势，全面提升余杭制造的品牌美誉度、市场占有率。强化企业创新主体地位，推动各类创新要素向企业集聚，</w:t>
      </w:r>
      <w:r>
        <w:rPr>
          <w:rFonts w:hint="eastAsia" w:ascii="Times New Roman" w:hAnsi="Times New Roman" w:cs="Times New Roman"/>
          <w:spacing w:val="0"/>
          <w:sz w:val="32"/>
          <w:szCs w:val="32"/>
          <w:highlight w:val="none"/>
          <w:shd w:val="clear" w:color="auto" w:fill="auto"/>
          <w:lang w:val="en-US" w:eastAsia="zh-CN"/>
        </w:rPr>
        <w:t>提升</w:t>
      </w:r>
      <w:r>
        <w:rPr>
          <w:rFonts w:hint="default" w:ascii="Times New Roman" w:hAnsi="Times New Roman" w:eastAsia="仿宋_GB2312" w:cs="Times New Roman"/>
          <w:spacing w:val="0"/>
          <w:sz w:val="32"/>
          <w:szCs w:val="32"/>
          <w:highlight w:val="none"/>
          <w:shd w:val="clear" w:color="auto" w:fill="auto"/>
        </w:rPr>
        <w:t>企业创新效率。严格</w:t>
      </w:r>
      <w:r>
        <w:rPr>
          <w:rFonts w:hint="eastAsia" w:ascii="Times New Roman" w:hAnsi="Times New Roman" w:cs="Times New Roman"/>
          <w:spacing w:val="0"/>
          <w:sz w:val="32"/>
          <w:szCs w:val="32"/>
          <w:highlight w:val="none"/>
          <w:shd w:val="clear" w:color="auto" w:fill="auto"/>
          <w:lang w:val="en-US" w:eastAsia="zh-CN"/>
        </w:rPr>
        <w:t>执行</w:t>
      </w:r>
      <w:r>
        <w:rPr>
          <w:rFonts w:hint="default" w:ascii="Times New Roman" w:hAnsi="Times New Roman" w:eastAsia="仿宋_GB2312" w:cs="Times New Roman"/>
          <w:spacing w:val="0"/>
          <w:sz w:val="32"/>
          <w:szCs w:val="32"/>
          <w:highlight w:val="none"/>
          <w:shd w:val="clear" w:color="auto" w:fill="auto"/>
        </w:rPr>
        <w:t>产业空间使用标准，加强项目准入管理，提高工业用地亩均产出效益。力争</w:t>
      </w:r>
      <w:r>
        <w:rPr>
          <w:rFonts w:hint="eastAsia" w:ascii="Times New Roman" w:hAnsi="Times New Roman" w:cs="Times New Roman"/>
          <w:spacing w:val="0"/>
          <w:sz w:val="32"/>
          <w:szCs w:val="32"/>
          <w:highlight w:val="none"/>
          <w:shd w:val="clear" w:color="auto" w:fill="auto"/>
          <w:lang w:val="en-US" w:eastAsia="zh-CN"/>
        </w:rPr>
        <w:t>到2026</w:t>
      </w:r>
      <w:r>
        <w:rPr>
          <w:rFonts w:hint="default" w:ascii="Times New Roman" w:hAnsi="Times New Roman" w:eastAsia="仿宋_GB2312" w:cs="Times New Roman"/>
          <w:spacing w:val="0"/>
          <w:sz w:val="32"/>
          <w:szCs w:val="32"/>
          <w:highlight w:val="none"/>
          <w:shd w:val="clear" w:color="auto" w:fill="auto"/>
        </w:rPr>
        <w:t>年新增规模工业企业</w:t>
      </w:r>
      <w:r>
        <w:rPr>
          <w:rFonts w:hint="eastAsia" w:ascii="Times New Roman" w:hAnsi="Times New Roman" w:cs="Times New Roman"/>
          <w:spacing w:val="0"/>
          <w:sz w:val="32"/>
          <w:szCs w:val="32"/>
          <w:highlight w:val="none"/>
          <w:shd w:val="clear" w:color="auto" w:fill="auto"/>
          <w:lang w:val="en-US" w:eastAsia="zh-CN"/>
        </w:rPr>
        <w:t>15</w:t>
      </w:r>
      <w:r>
        <w:rPr>
          <w:rFonts w:hint="default" w:ascii="Times New Roman" w:hAnsi="Times New Roman" w:eastAsia="仿宋_GB2312" w:cs="Times New Roman"/>
          <w:spacing w:val="0"/>
          <w:sz w:val="32"/>
          <w:szCs w:val="32"/>
          <w:highlight w:val="none"/>
          <w:shd w:val="clear" w:color="auto" w:fill="auto"/>
        </w:rPr>
        <w:t>0家</w:t>
      </w:r>
      <w:r>
        <w:rPr>
          <w:rFonts w:hint="eastAsia" w:ascii="Times New Roman" w:hAnsi="Times New Roman" w:cs="Times New Roman"/>
          <w:spacing w:val="0"/>
          <w:sz w:val="32"/>
          <w:szCs w:val="32"/>
          <w:highlight w:val="none"/>
          <w:shd w:val="clear" w:color="auto" w:fill="auto"/>
          <w:lang w:eastAsia="zh-CN"/>
        </w:rPr>
        <w:t>，</w:t>
      </w:r>
      <w:r>
        <w:rPr>
          <w:rFonts w:hint="default" w:ascii="Times New Roman" w:hAnsi="Times New Roman" w:eastAsia="仿宋_GB2312" w:cs="Times New Roman"/>
          <w:spacing w:val="0"/>
          <w:sz w:val="32"/>
          <w:szCs w:val="32"/>
          <w:highlight w:val="none"/>
          <w:shd w:val="clear" w:color="auto" w:fill="auto"/>
        </w:rPr>
        <w:t>全员劳动生产率达到</w:t>
      </w:r>
      <w:r>
        <w:rPr>
          <w:rFonts w:hint="eastAsia" w:ascii="Times New Roman" w:hAnsi="Times New Roman" w:cs="Times New Roman"/>
          <w:spacing w:val="0"/>
          <w:sz w:val="32"/>
          <w:szCs w:val="32"/>
          <w:highlight w:val="none"/>
          <w:shd w:val="clear" w:color="auto" w:fill="auto"/>
          <w:lang w:val="en-US" w:eastAsia="zh-CN"/>
        </w:rPr>
        <w:t>36.5</w:t>
      </w:r>
      <w:r>
        <w:rPr>
          <w:rFonts w:hint="default" w:ascii="Times New Roman" w:hAnsi="Times New Roman" w:eastAsia="仿宋_GB2312" w:cs="Times New Roman"/>
          <w:spacing w:val="0"/>
          <w:sz w:val="32"/>
          <w:szCs w:val="32"/>
          <w:highlight w:val="none"/>
          <w:shd w:val="clear" w:color="auto" w:fill="auto"/>
        </w:rPr>
        <w:t>万元/人以上。</w:t>
      </w:r>
    </w:p>
    <w:p w14:paraId="118EC7B8">
      <w:pPr>
        <w:pageBreakBefore w:val="0"/>
        <w:widowControl w:val="0"/>
        <w:kinsoku/>
        <w:wordWrap/>
        <w:overflowPunct/>
        <w:topLinePunct w:val="0"/>
        <w:autoSpaceDE/>
        <w:autoSpaceDN/>
        <w:bidi w:val="0"/>
        <w:adjustRightInd/>
        <w:snapToGrid/>
        <w:spacing w:beforeLines="0" w:afterLines="0" w:line="570" w:lineRule="exact"/>
        <w:ind w:left="0" w:leftChars="0" w:right="0" w:rightChars="0" w:firstLine="640" w:firstLineChars="200"/>
        <w:textAlignment w:val="auto"/>
        <w:rPr>
          <w:rFonts w:hint="eastAsia" w:ascii="Times New Roman" w:hAnsi="Times New Roman" w:eastAsia="仿宋_GB2312" w:cs="仿宋_GB2312"/>
          <w:b w:val="0"/>
          <w:bCs w:val="0"/>
          <w:color w:val="auto"/>
          <w:kern w:val="0"/>
          <w:sz w:val="32"/>
          <w:szCs w:val="32"/>
          <w:lang w:val="en-US" w:eastAsia="zh-CN" w:bidi="ar"/>
        </w:rPr>
      </w:pPr>
      <w:r>
        <w:rPr>
          <w:rFonts w:hint="default" w:ascii="Times New Roman" w:hAnsi="Times New Roman" w:eastAsia="楷体_GB2312" w:cs="Times New Roman"/>
          <w:b w:val="0"/>
          <w:bCs w:val="0"/>
          <w:color w:val="000000"/>
          <w:spacing w:val="0"/>
          <w:sz w:val="32"/>
          <w:szCs w:val="32"/>
          <w:highlight w:val="none"/>
          <w:shd w:val="clear" w:color="auto" w:fill="auto"/>
        </w:rPr>
        <w:t>（三）</w:t>
      </w:r>
      <w:r>
        <w:rPr>
          <w:rFonts w:hint="default" w:ascii="Times New Roman" w:hAnsi="Times New Roman" w:eastAsia="楷体_GB2312" w:cs="Times New Roman"/>
          <w:b w:val="0"/>
          <w:color w:val="000000"/>
          <w:spacing w:val="0"/>
          <w:sz w:val="32"/>
          <w:szCs w:val="32"/>
          <w:highlight w:val="none"/>
          <w:shd w:val="clear" w:color="auto" w:fill="auto"/>
        </w:rPr>
        <w:t>推进产业结构升级。</w:t>
      </w:r>
      <w:r>
        <w:rPr>
          <w:rFonts w:hint="default" w:ascii="Times New Roman" w:hAnsi="Times New Roman" w:eastAsia="仿宋_GB2312" w:cs="Times New Roman"/>
          <w:spacing w:val="0"/>
          <w:sz w:val="32"/>
          <w:szCs w:val="32"/>
          <w:highlight w:val="none"/>
          <w:shd w:val="clear" w:color="auto" w:fill="auto"/>
        </w:rPr>
        <w:t>打造发展快、效益高、更集聚的产业形态，积极招引高端装备、新一代信息技术、新能源、新材料、生命健康、航空科技等战略性新兴产业、先进制造业项目落地。推动传统产业高端化、智能化、绿色化发展。形成标志性产业链和先进制造业集群，实现产业结构迭代升级。</w:t>
      </w:r>
      <w:r>
        <w:rPr>
          <w:rFonts w:hint="eastAsia" w:ascii="Times New Roman" w:hAnsi="Times New Roman" w:eastAsia="仿宋_GB2312" w:cs="仿宋_GB2312"/>
          <w:color w:val="000000"/>
          <w:sz w:val="32"/>
          <w:szCs w:val="32"/>
          <w:lang w:eastAsia="zh-CN"/>
        </w:rPr>
        <w:t>到</w:t>
      </w:r>
      <w:r>
        <w:rPr>
          <w:rFonts w:hint="eastAsia" w:ascii="Times New Roman" w:hAnsi="Times New Roman" w:eastAsia="仿宋_GB2312" w:cs="仿宋_GB2312"/>
          <w:color w:val="000000"/>
          <w:sz w:val="32"/>
          <w:szCs w:val="32"/>
          <w:lang w:val="en-US" w:eastAsia="zh-CN"/>
        </w:rPr>
        <w:t>2026年，列入提升计划的</w:t>
      </w:r>
      <w:r>
        <w:rPr>
          <w:rFonts w:hint="eastAsia" w:ascii="Times New Roman" w:hAnsi="Times New Roman" w:cs="仿宋_GB2312"/>
          <w:color w:val="000000"/>
          <w:sz w:val="32"/>
          <w:szCs w:val="32"/>
          <w:lang w:val="en-US" w:eastAsia="zh-CN"/>
        </w:rPr>
        <w:t>300亩以上</w:t>
      </w:r>
      <w:r>
        <w:rPr>
          <w:rFonts w:hint="eastAsia" w:ascii="Times New Roman" w:hAnsi="Times New Roman" w:eastAsia="仿宋_GB2312" w:cs="仿宋_GB2312"/>
          <w:color w:val="000000"/>
          <w:sz w:val="32"/>
          <w:szCs w:val="32"/>
          <w:lang w:val="en-US" w:eastAsia="zh-CN"/>
        </w:rPr>
        <w:t>工业功能区工业产值年均增长6%以上；制造业投资年均增长15%以上；</w:t>
      </w:r>
      <w:r>
        <w:rPr>
          <w:rFonts w:hint="eastAsia" w:ascii="Times New Roman" w:hAnsi="Times New Roman" w:eastAsia="仿宋_GB2312" w:cs="仿宋_GB2312"/>
          <w:color w:val="000000"/>
          <w:sz w:val="32"/>
          <w:szCs w:val="32"/>
          <w:u w:val="none"/>
          <w:lang w:val="en-US" w:eastAsia="zh-CN"/>
        </w:rPr>
        <w:t>规上制造业企业研发经费占营业收入比重超</w:t>
      </w:r>
      <w:r>
        <w:rPr>
          <w:rFonts w:hint="eastAsia" w:ascii="Times New Roman" w:hAnsi="Times New Roman" w:eastAsia="仿宋_GB2312" w:cs="仿宋_GB2312"/>
          <w:color w:val="000000"/>
          <w:sz w:val="32"/>
          <w:szCs w:val="32"/>
          <w:highlight w:val="none"/>
          <w:u w:val="none"/>
          <w:lang w:val="en-US" w:eastAsia="zh-CN"/>
        </w:rPr>
        <w:t>过</w:t>
      </w:r>
      <w:r>
        <w:rPr>
          <w:rFonts w:hint="eastAsia" w:cs="仿宋_GB2312"/>
          <w:color w:val="000000"/>
          <w:sz w:val="32"/>
          <w:szCs w:val="32"/>
          <w:highlight w:val="none"/>
          <w:u w:val="none"/>
          <w:lang w:val="en-US" w:eastAsia="zh-CN"/>
        </w:rPr>
        <w:t>3.8</w:t>
      </w:r>
      <w:r>
        <w:rPr>
          <w:rFonts w:hint="eastAsia" w:ascii="Times New Roman" w:hAnsi="Times New Roman" w:eastAsia="仿宋_GB2312" w:cs="仿宋_GB2312"/>
          <w:color w:val="000000"/>
          <w:sz w:val="32"/>
          <w:szCs w:val="32"/>
          <w:highlight w:val="none"/>
          <w:u w:val="none"/>
          <w:lang w:val="en-US" w:eastAsia="zh-CN"/>
        </w:rPr>
        <w:t>%</w:t>
      </w:r>
      <w:r>
        <w:rPr>
          <w:rFonts w:hint="eastAsia" w:ascii="Times New Roman" w:hAnsi="Times New Roman" w:eastAsia="仿宋_GB2312" w:cs="仿宋_GB2312"/>
          <w:color w:val="000000"/>
          <w:sz w:val="32"/>
          <w:szCs w:val="32"/>
          <w:highlight w:val="none"/>
          <w:lang w:val="en-US" w:eastAsia="zh-CN"/>
        </w:rPr>
        <w:t>；</w:t>
      </w:r>
      <w:r>
        <w:rPr>
          <w:rFonts w:hint="eastAsia" w:ascii="Times New Roman" w:hAnsi="Times New Roman" w:eastAsia="仿宋_GB2312" w:cs="仿宋_GB2312"/>
          <w:color w:val="000000"/>
          <w:sz w:val="32"/>
          <w:szCs w:val="32"/>
          <w:lang w:val="en-US" w:eastAsia="zh-CN"/>
        </w:rPr>
        <w:t>规上工业亩均税收年均增长4%以上，亩均税收低于5万元的规上工业企业依法依规实现动态清零</w:t>
      </w:r>
      <w:r>
        <w:rPr>
          <w:rFonts w:hint="eastAsia" w:ascii="Times New Roman" w:hAnsi="Times New Roman" w:eastAsia="仿宋_GB2312" w:cs="仿宋_GB2312"/>
          <w:b w:val="0"/>
          <w:bCs w:val="0"/>
          <w:color w:val="auto"/>
          <w:kern w:val="0"/>
          <w:sz w:val="32"/>
          <w:szCs w:val="32"/>
          <w:lang w:val="en-US" w:eastAsia="zh-CN" w:bidi="ar"/>
        </w:rPr>
        <w:t>。</w:t>
      </w:r>
    </w:p>
    <w:p w14:paraId="36905597">
      <w:pPr>
        <w:pageBreakBefore w:val="0"/>
        <w:widowControl w:val="0"/>
        <w:kinsoku/>
        <w:wordWrap/>
        <w:overflowPunct/>
        <w:topLinePunct w:val="0"/>
        <w:autoSpaceDE/>
        <w:autoSpaceDN/>
        <w:bidi w:val="0"/>
        <w:adjustRightInd/>
        <w:snapToGrid/>
        <w:spacing w:beforeLines="0" w:afterLines="0" w:line="570" w:lineRule="exact"/>
        <w:ind w:left="0" w:leftChars="0" w:right="0" w:rightChars="0" w:firstLine="640" w:firstLineChars="200"/>
        <w:textAlignment w:val="auto"/>
        <w:rPr>
          <w:rFonts w:hint="default" w:ascii="Times New Roman" w:hAnsi="Times New Roman" w:eastAsia="黑体" w:cs="Times New Roman"/>
          <w:b/>
          <w:bCs/>
          <w:color w:val="000000"/>
          <w:spacing w:val="0"/>
          <w:sz w:val="32"/>
          <w:szCs w:val="32"/>
          <w:highlight w:val="none"/>
          <w:shd w:val="clear" w:color="auto" w:fill="auto"/>
        </w:rPr>
      </w:pPr>
      <w:r>
        <w:rPr>
          <w:rFonts w:hint="default" w:ascii="Times New Roman" w:hAnsi="Times New Roman" w:eastAsia="黑体" w:cs="Times New Roman"/>
          <w:color w:val="000000"/>
          <w:spacing w:val="0"/>
          <w:sz w:val="32"/>
          <w:szCs w:val="32"/>
          <w:highlight w:val="none"/>
          <w:shd w:val="clear" w:color="auto" w:fill="auto"/>
        </w:rPr>
        <w:t>四、实施范围</w:t>
      </w:r>
    </w:p>
    <w:p w14:paraId="357D3115">
      <w:pPr>
        <w:pageBreakBefore w:val="0"/>
        <w:widowControl w:val="0"/>
        <w:kinsoku/>
        <w:wordWrap/>
        <w:overflowPunct/>
        <w:topLinePunct w:val="0"/>
        <w:autoSpaceDE/>
        <w:autoSpaceDN/>
        <w:bidi w:val="0"/>
        <w:adjustRightInd/>
        <w:snapToGrid/>
        <w:spacing w:beforeLines="0" w:afterLines="0" w:line="570" w:lineRule="exact"/>
        <w:ind w:left="0" w:leftChars="0" w:right="0" w:rightChars="0" w:firstLine="640" w:firstLineChars="200"/>
        <w:textAlignment w:val="auto"/>
        <w:rPr>
          <w:rFonts w:hint="default" w:ascii="Times New Roman" w:hAnsi="Times New Roman" w:eastAsia="仿宋_GB2312" w:cs="Times New Roman"/>
          <w:color w:val="000000"/>
          <w:spacing w:val="0"/>
          <w:sz w:val="32"/>
          <w:szCs w:val="32"/>
          <w:highlight w:val="none"/>
          <w:shd w:val="clear" w:color="auto" w:fill="auto"/>
        </w:rPr>
      </w:pPr>
      <w:r>
        <w:rPr>
          <w:rFonts w:hint="eastAsia" w:ascii="Times New Roman" w:hAnsi="Times New Roman" w:cs="Times New Roman"/>
          <w:b w:val="0"/>
          <w:bCs w:val="0"/>
          <w:color w:val="000000"/>
          <w:spacing w:val="0"/>
          <w:sz w:val="32"/>
          <w:szCs w:val="32"/>
          <w:highlight w:val="none"/>
          <w:shd w:val="clear" w:color="auto" w:fill="auto"/>
          <w:lang w:eastAsia="zh-CN"/>
        </w:rPr>
        <w:t>（</w:t>
      </w:r>
      <w:r>
        <w:rPr>
          <w:rFonts w:hint="eastAsia" w:ascii="Times New Roman" w:hAnsi="Times New Roman" w:cs="Times New Roman"/>
          <w:b w:val="0"/>
          <w:bCs w:val="0"/>
          <w:color w:val="000000"/>
          <w:spacing w:val="0"/>
          <w:sz w:val="32"/>
          <w:szCs w:val="32"/>
          <w:highlight w:val="none"/>
          <w:shd w:val="clear" w:color="auto" w:fill="auto"/>
          <w:lang w:val="en-US" w:eastAsia="zh-CN"/>
        </w:rPr>
        <w:t>一</w:t>
      </w:r>
      <w:r>
        <w:rPr>
          <w:rFonts w:hint="eastAsia" w:ascii="Times New Roman" w:hAnsi="Times New Roman" w:cs="Times New Roman"/>
          <w:b w:val="0"/>
          <w:bCs w:val="0"/>
          <w:color w:val="000000"/>
          <w:spacing w:val="0"/>
          <w:sz w:val="32"/>
          <w:szCs w:val="32"/>
          <w:highlight w:val="none"/>
          <w:shd w:val="clear" w:color="auto" w:fill="auto"/>
          <w:lang w:eastAsia="zh-CN"/>
        </w:rPr>
        <w:t>）</w:t>
      </w:r>
      <w:r>
        <w:rPr>
          <w:rFonts w:hint="default" w:ascii="Times New Roman" w:hAnsi="Times New Roman" w:eastAsia="仿宋_GB2312" w:cs="Times New Roman"/>
          <w:b w:val="0"/>
          <w:bCs w:val="0"/>
          <w:spacing w:val="0"/>
          <w:sz w:val="32"/>
          <w:szCs w:val="32"/>
          <w:highlight w:val="none"/>
          <w:shd w:val="clear" w:color="auto" w:fill="auto"/>
        </w:rPr>
        <w:t>全区</w:t>
      </w:r>
      <w:r>
        <w:rPr>
          <w:rFonts w:hint="eastAsia" w:ascii="Times New Roman" w:hAnsi="Times New Roman" w:cs="Times New Roman"/>
          <w:b w:val="0"/>
          <w:bCs w:val="0"/>
          <w:spacing w:val="0"/>
          <w:sz w:val="32"/>
          <w:szCs w:val="32"/>
          <w:highlight w:val="none"/>
          <w:shd w:val="clear" w:color="auto" w:fill="auto"/>
          <w:lang w:eastAsia="zh-CN"/>
        </w:rPr>
        <w:t>已完成区级审核的工业区块</w:t>
      </w:r>
      <w:r>
        <w:rPr>
          <w:rFonts w:hint="default" w:ascii="Times New Roman" w:hAnsi="Times New Roman" w:eastAsia="仿宋_GB2312" w:cs="Times New Roman"/>
          <w:b w:val="0"/>
          <w:bCs w:val="0"/>
          <w:spacing w:val="0"/>
          <w:sz w:val="32"/>
          <w:szCs w:val="32"/>
          <w:highlight w:val="none"/>
          <w:shd w:val="clear" w:color="auto" w:fill="auto"/>
        </w:rPr>
        <w:t>，特别是其中土地利用效率低的区块。</w:t>
      </w:r>
      <w:r>
        <w:rPr>
          <w:rFonts w:hint="eastAsia" w:ascii="Times New Roman" w:hAnsi="Times New Roman" w:cs="Times New Roman"/>
          <w:b w:val="0"/>
          <w:bCs w:val="0"/>
          <w:spacing w:val="0"/>
          <w:sz w:val="32"/>
          <w:szCs w:val="32"/>
          <w:highlight w:val="none"/>
          <w:shd w:val="clear" w:color="auto" w:fill="auto"/>
          <w:lang w:eastAsia="zh-CN"/>
        </w:rPr>
        <w:t>（</w:t>
      </w:r>
      <w:r>
        <w:rPr>
          <w:rFonts w:hint="eastAsia" w:ascii="Times New Roman" w:hAnsi="Times New Roman" w:cs="Times New Roman"/>
          <w:b w:val="0"/>
          <w:bCs w:val="0"/>
          <w:spacing w:val="0"/>
          <w:sz w:val="32"/>
          <w:szCs w:val="32"/>
          <w:highlight w:val="none"/>
          <w:shd w:val="clear" w:color="auto" w:fill="auto"/>
          <w:lang w:val="en-US" w:eastAsia="zh-CN"/>
        </w:rPr>
        <w:t>二</w:t>
      </w:r>
      <w:r>
        <w:rPr>
          <w:rFonts w:hint="eastAsia" w:ascii="Times New Roman" w:hAnsi="Times New Roman" w:cs="Times New Roman"/>
          <w:b w:val="0"/>
          <w:bCs w:val="0"/>
          <w:color w:val="000000"/>
          <w:spacing w:val="0"/>
          <w:sz w:val="32"/>
          <w:szCs w:val="32"/>
          <w:highlight w:val="none"/>
          <w:shd w:val="clear" w:color="auto" w:fill="auto"/>
          <w:lang w:eastAsia="zh-CN"/>
        </w:rPr>
        <w:t>）</w:t>
      </w:r>
      <w:r>
        <w:rPr>
          <w:rFonts w:hint="default" w:ascii="Times New Roman" w:hAnsi="Times New Roman" w:eastAsia="仿宋_GB2312" w:cs="Times New Roman"/>
          <w:b w:val="0"/>
          <w:bCs w:val="0"/>
          <w:spacing w:val="0"/>
          <w:sz w:val="32"/>
          <w:szCs w:val="32"/>
          <w:highlight w:val="none"/>
          <w:shd w:val="clear" w:color="auto" w:fill="auto"/>
        </w:rPr>
        <w:t>不在</w:t>
      </w:r>
      <w:r>
        <w:rPr>
          <w:rFonts w:hint="default" w:ascii="Times New Roman" w:hAnsi="Times New Roman" w:eastAsia="仿宋_GB2312" w:cs="Times New Roman"/>
          <w:spacing w:val="0"/>
          <w:sz w:val="32"/>
          <w:szCs w:val="32"/>
          <w:highlight w:val="none"/>
          <w:shd w:val="clear" w:color="auto" w:fill="auto"/>
        </w:rPr>
        <w:t>集聚区内的零星工业用地</w:t>
      </w:r>
      <w:r>
        <w:rPr>
          <w:rFonts w:hint="default" w:ascii="Times New Roman" w:hAnsi="Times New Roman" w:eastAsia="仿宋_GB2312" w:cs="Times New Roman"/>
          <w:color w:val="000000"/>
          <w:spacing w:val="0"/>
          <w:sz w:val="32"/>
          <w:szCs w:val="32"/>
          <w:highlight w:val="none"/>
          <w:shd w:val="clear" w:color="auto" w:fill="auto"/>
        </w:rPr>
        <w:t>（</w:t>
      </w:r>
      <w:r>
        <w:rPr>
          <w:rFonts w:hint="eastAsia" w:ascii="Times New Roman" w:hAnsi="Times New Roman" w:cs="Times New Roman"/>
          <w:color w:val="000000"/>
          <w:spacing w:val="0"/>
          <w:sz w:val="32"/>
          <w:szCs w:val="32"/>
          <w:highlight w:val="none"/>
          <w:shd w:val="clear" w:color="auto" w:fill="auto"/>
          <w:lang w:val="en-US" w:eastAsia="zh-CN"/>
        </w:rPr>
        <w:t>符合单元详规的区块</w:t>
      </w:r>
      <w:r>
        <w:rPr>
          <w:rFonts w:hint="default" w:ascii="Times New Roman" w:hAnsi="Times New Roman" w:eastAsia="仿宋_GB2312" w:cs="Times New Roman"/>
          <w:color w:val="000000"/>
          <w:spacing w:val="0"/>
          <w:sz w:val="32"/>
          <w:szCs w:val="32"/>
          <w:highlight w:val="none"/>
          <w:shd w:val="clear" w:color="auto" w:fill="auto"/>
        </w:rPr>
        <w:t>）。</w:t>
      </w:r>
    </w:p>
    <w:p w14:paraId="6480C5F2">
      <w:pPr>
        <w:pageBreakBefore w:val="0"/>
        <w:widowControl w:val="0"/>
        <w:kinsoku/>
        <w:wordWrap/>
        <w:overflowPunct/>
        <w:topLinePunct w:val="0"/>
        <w:autoSpaceDE/>
        <w:autoSpaceDN/>
        <w:bidi w:val="0"/>
        <w:adjustRightInd/>
        <w:snapToGrid/>
        <w:spacing w:beforeLines="0" w:afterLines="0" w:line="570" w:lineRule="exact"/>
        <w:ind w:left="0" w:leftChars="0" w:right="0" w:rightChars="0" w:firstLine="640" w:firstLineChars="200"/>
        <w:textAlignment w:val="auto"/>
        <w:rPr>
          <w:rFonts w:hint="default" w:ascii="Times New Roman" w:hAnsi="Times New Roman" w:eastAsia="仿宋_GB2312" w:cs="Times New Roman"/>
          <w:spacing w:val="0"/>
          <w:sz w:val="32"/>
          <w:szCs w:val="32"/>
          <w:highlight w:val="none"/>
          <w:shd w:val="clear" w:color="auto" w:fill="auto"/>
        </w:rPr>
      </w:pPr>
      <w:r>
        <w:rPr>
          <w:rFonts w:hint="eastAsia" w:ascii="Times New Roman" w:hAnsi="Times New Roman" w:cs="Times New Roman"/>
          <w:spacing w:val="0"/>
          <w:sz w:val="32"/>
          <w:szCs w:val="32"/>
          <w:highlight w:val="none"/>
          <w:shd w:val="clear" w:color="auto" w:fill="auto"/>
          <w:lang w:val="en-US" w:eastAsia="zh-CN"/>
        </w:rPr>
        <w:t>支持</w:t>
      </w:r>
      <w:r>
        <w:rPr>
          <w:rFonts w:hint="default" w:ascii="Times New Roman" w:hAnsi="Times New Roman" w:eastAsia="仿宋_GB2312" w:cs="Times New Roman"/>
          <w:spacing w:val="0"/>
          <w:sz w:val="32"/>
          <w:szCs w:val="32"/>
          <w:highlight w:val="none"/>
          <w:shd w:val="clear" w:color="auto" w:fill="auto"/>
        </w:rPr>
        <w:t>引导企业和多种市场主体参与</w:t>
      </w:r>
      <w:r>
        <w:rPr>
          <w:rFonts w:hint="eastAsia" w:ascii="Times New Roman" w:hAnsi="Times New Roman" w:cs="Times New Roman"/>
          <w:spacing w:val="0"/>
          <w:sz w:val="32"/>
          <w:szCs w:val="32"/>
          <w:highlight w:val="none"/>
          <w:shd w:val="clear" w:color="auto" w:fill="auto"/>
          <w:lang w:val="en-US" w:eastAsia="zh-CN"/>
        </w:rPr>
        <w:t>工业用地</w:t>
      </w:r>
      <w:r>
        <w:rPr>
          <w:rFonts w:hint="default" w:ascii="Times New Roman" w:hAnsi="Times New Roman" w:eastAsia="仿宋_GB2312" w:cs="Times New Roman"/>
          <w:spacing w:val="0"/>
          <w:sz w:val="32"/>
          <w:szCs w:val="32"/>
          <w:highlight w:val="none"/>
          <w:shd w:val="clear" w:color="auto" w:fill="auto"/>
        </w:rPr>
        <w:t>有机更新，进一步强化企业用地空间保障，确保我区优质企业扎根成长，加速产业集聚、企业集中，打造优势企业集群发展新高地。</w:t>
      </w:r>
    </w:p>
    <w:p w14:paraId="2D5E49A3">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auto"/>
        <w:outlineLvl w:val="9"/>
        <w:rPr>
          <w:rFonts w:hint="default" w:ascii="Times New Roman" w:hAnsi="Times New Roman" w:cs="Times New Roman"/>
          <w:color w:val="000000"/>
          <w:spacing w:val="0"/>
          <w:sz w:val="32"/>
          <w:szCs w:val="32"/>
          <w:highlight w:val="none"/>
          <w:shd w:val="clear" w:color="auto" w:fill="auto"/>
        </w:rPr>
      </w:pPr>
      <w:r>
        <w:rPr>
          <w:rFonts w:hint="default" w:ascii="Times New Roman" w:hAnsi="Times New Roman" w:eastAsia="黑体" w:cs="Times New Roman"/>
          <w:color w:val="000000"/>
          <w:spacing w:val="0"/>
          <w:sz w:val="32"/>
          <w:szCs w:val="32"/>
          <w:highlight w:val="none"/>
          <w:shd w:val="clear" w:color="auto" w:fill="auto"/>
        </w:rPr>
        <w:t>五、推进模式</w:t>
      </w:r>
    </w:p>
    <w:p w14:paraId="6551FF25">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auto"/>
        <w:outlineLvl w:val="9"/>
        <w:rPr>
          <w:rFonts w:hint="default" w:ascii="Times New Roman" w:hAnsi="Times New Roman" w:eastAsia="仿宋_GB2312" w:cs="Times New Roman"/>
          <w:spacing w:val="0"/>
          <w:sz w:val="32"/>
          <w:szCs w:val="32"/>
          <w:highlight w:val="none"/>
          <w:shd w:val="clear" w:color="auto" w:fill="auto"/>
        </w:rPr>
      </w:pPr>
      <w:r>
        <w:rPr>
          <w:rFonts w:hint="eastAsia" w:ascii="Times New Roman" w:hAnsi="Times New Roman" w:cs="Times New Roman"/>
          <w:spacing w:val="0"/>
          <w:sz w:val="32"/>
          <w:szCs w:val="32"/>
          <w:highlight w:val="none"/>
          <w:shd w:val="clear" w:color="auto" w:fill="auto"/>
          <w:lang w:val="en-US" w:eastAsia="zh-CN"/>
        </w:rPr>
        <w:t>采取多元</w:t>
      </w:r>
      <w:r>
        <w:rPr>
          <w:rFonts w:hint="default" w:ascii="Times New Roman" w:hAnsi="Times New Roman" w:eastAsia="仿宋_GB2312" w:cs="Times New Roman"/>
          <w:spacing w:val="0"/>
          <w:sz w:val="32"/>
          <w:szCs w:val="32"/>
          <w:highlight w:val="none"/>
          <w:shd w:val="clear" w:color="auto" w:fill="auto"/>
        </w:rPr>
        <w:t>模式，加强政府对工业用地的统筹管理，发挥企业自主能动性，积极吸引社会资本和优质运营商参与，以“优审批、重内容、强监管”为原则，根据工业用地不同规模效益，推动3条开发路径，采取“N”种细分方式，充分发挥各平台、镇街主导作用，依照“因地制宜、分类指导、有序推动、规范管理”的方针，迭代推动工业用地有机更新。</w:t>
      </w:r>
    </w:p>
    <w:p w14:paraId="7A0BF342">
      <w:pPr>
        <w:pageBreakBefore w:val="0"/>
        <w:widowControl w:val="0"/>
        <w:kinsoku/>
        <w:wordWrap/>
        <w:overflowPunct/>
        <w:topLinePunct w:val="0"/>
        <w:autoSpaceDE/>
        <w:autoSpaceDN/>
        <w:bidi w:val="0"/>
        <w:adjustRightInd/>
        <w:snapToGrid/>
        <w:spacing w:beforeLines="0" w:afterLines="0" w:line="570" w:lineRule="exact"/>
        <w:ind w:left="0" w:leftChars="0" w:right="0" w:rightChars="0" w:firstLine="640" w:firstLineChars="200"/>
        <w:textAlignment w:val="auto"/>
        <w:rPr>
          <w:rFonts w:hint="default" w:ascii="Times New Roman" w:hAnsi="Times New Roman" w:eastAsia="仿宋_GB2312" w:cs="Times New Roman"/>
          <w:spacing w:val="0"/>
          <w:sz w:val="32"/>
          <w:szCs w:val="32"/>
          <w:highlight w:val="none"/>
          <w:shd w:val="clear" w:color="auto" w:fill="auto"/>
        </w:rPr>
      </w:pPr>
      <w:r>
        <w:rPr>
          <w:rFonts w:hint="default" w:ascii="Times New Roman" w:hAnsi="Times New Roman" w:eastAsia="楷体_GB2312" w:cs="Times New Roman"/>
          <w:b w:val="0"/>
          <w:bCs w:val="0"/>
          <w:color w:val="000000"/>
          <w:spacing w:val="0"/>
          <w:sz w:val="32"/>
          <w:szCs w:val="32"/>
          <w:highlight w:val="none"/>
          <w:shd w:val="clear" w:color="auto" w:fill="auto"/>
        </w:rPr>
        <w:t>（一）政府主导改造。</w:t>
      </w:r>
      <w:r>
        <w:rPr>
          <w:rFonts w:hint="default" w:ascii="Times New Roman" w:hAnsi="Times New Roman" w:eastAsia="仿宋_GB2312" w:cs="Times New Roman"/>
          <w:spacing w:val="0"/>
          <w:sz w:val="32"/>
          <w:szCs w:val="32"/>
          <w:highlight w:val="none"/>
          <w:shd w:val="clear" w:color="auto" w:fill="auto"/>
        </w:rPr>
        <w:t>对低效闲置、列入征迁计划或者未来科技城、良渚新城、钱江经济开发区等范围内适合承载产业发展战略的工业地块，实施征迁后利用国有公司资金、人才、管理等优势，建设工业综合体。</w:t>
      </w:r>
    </w:p>
    <w:p w14:paraId="37EACCA3">
      <w:pPr>
        <w:pageBreakBefore w:val="0"/>
        <w:widowControl w:val="0"/>
        <w:kinsoku/>
        <w:wordWrap/>
        <w:overflowPunct/>
        <w:topLinePunct w:val="0"/>
        <w:autoSpaceDE/>
        <w:autoSpaceDN/>
        <w:bidi w:val="0"/>
        <w:adjustRightInd/>
        <w:snapToGrid/>
        <w:spacing w:beforeLines="0" w:afterLines="0" w:line="570" w:lineRule="exact"/>
        <w:ind w:left="0" w:leftChars="0" w:right="0" w:rightChars="0" w:firstLine="640" w:firstLineChars="200"/>
        <w:textAlignment w:val="auto"/>
        <w:rPr>
          <w:rFonts w:hint="default" w:ascii="Times New Roman" w:hAnsi="Times New Roman" w:cs="Times New Roman"/>
          <w:color w:val="000000"/>
          <w:spacing w:val="0"/>
          <w:sz w:val="32"/>
          <w:szCs w:val="32"/>
          <w:highlight w:val="none"/>
          <w:shd w:val="clear" w:color="auto" w:fill="auto"/>
        </w:rPr>
      </w:pPr>
      <w:r>
        <w:rPr>
          <w:rFonts w:hint="default" w:ascii="Times New Roman" w:hAnsi="Times New Roman" w:cs="Times New Roman"/>
          <w:b w:val="0"/>
          <w:bCs w:val="0"/>
          <w:color w:val="000000"/>
          <w:spacing w:val="0"/>
          <w:sz w:val="32"/>
          <w:szCs w:val="32"/>
          <w:highlight w:val="none"/>
          <w:shd w:val="clear" w:color="auto" w:fill="auto"/>
        </w:rPr>
        <w:t>1.</w:t>
      </w:r>
      <w:r>
        <w:rPr>
          <w:rFonts w:hint="default" w:ascii="Times New Roman" w:hAnsi="Times New Roman" w:eastAsia="仿宋_GB2312" w:cs="Times New Roman"/>
          <w:b w:val="0"/>
          <w:bCs w:val="0"/>
          <w:color w:val="000000"/>
          <w:spacing w:val="0"/>
          <w:sz w:val="32"/>
          <w:szCs w:val="32"/>
          <w:highlight w:val="none"/>
          <w:shd w:val="clear" w:color="auto" w:fill="auto"/>
        </w:rPr>
        <w:t>货币安置。</w:t>
      </w:r>
      <w:r>
        <w:rPr>
          <w:rFonts w:hint="default" w:ascii="Times New Roman" w:hAnsi="Times New Roman" w:eastAsia="仿宋_GB2312" w:cs="Times New Roman"/>
          <w:spacing w:val="0"/>
          <w:sz w:val="32"/>
          <w:szCs w:val="32"/>
          <w:highlight w:val="none"/>
          <w:shd w:val="clear" w:color="auto" w:fill="auto"/>
        </w:rPr>
        <w:t>重点规划整片有机更新的区域实行统征统迁，货币安置相关程序、条件、价格按照《国有土地上房屋征收与补偿条例》相关规定执行。</w:t>
      </w:r>
    </w:p>
    <w:p w14:paraId="3D313C44">
      <w:pPr>
        <w:pageBreakBefore w:val="0"/>
        <w:widowControl w:val="0"/>
        <w:kinsoku/>
        <w:wordWrap/>
        <w:overflowPunct/>
        <w:topLinePunct w:val="0"/>
        <w:autoSpaceDE/>
        <w:autoSpaceDN/>
        <w:bidi w:val="0"/>
        <w:adjustRightInd/>
        <w:snapToGrid/>
        <w:spacing w:beforeLines="0" w:afterLines="0" w:line="570" w:lineRule="exact"/>
        <w:ind w:left="0" w:leftChars="0" w:right="0" w:rightChars="0" w:firstLine="640" w:firstLineChars="200"/>
        <w:textAlignment w:val="auto"/>
        <w:rPr>
          <w:rFonts w:hint="default" w:ascii="Times New Roman" w:hAnsi="Times New Roman" w:eastAsia="仿宋_GB2312" w:cs="Times New Roman"/>
          <w:spacing w:val="0"/>
          <w:sz w:val="32"/>
          <w:szCs w:val="32"/>
          <w:highlight w:val="none"/>
          <w:shd w:val="clear" w:color="auto" w:fill="auto"/>
        </w:rPr>
      </w:pPr>
      <w:r>
        <w:rPr>
          <w:rFonts w:hint="default" w:ascii="Times New Roman" w:hAnsi="Times New Roman" w:eastAsia="仿宋_GB2312" w:cs="Times New Roman"/>
          <w:b w:val="0"/>
          <w:bCs w:val="0"/>
          <w:color w:val="000000"/>
          <w:spacing w:val="0"/>
          <w:sz w:val="32"/>
          <w:szCs w:val="32"/>
          <w:highlight w:val="none"/>
          <w:shd w:val="clear" w:color="auto" w:fill="auto"/>
        </w:rPr>
        <w:t>2.产权置换。</w:t>
      </w:r>
      <w:r>
        <w:rPr>
          <w:rFonts w:hint="default" w:ascii="Times New Roman" w:hAnsi="Times New Roman" w:eastAsia="仿宋_GB2312" w:cs="Times New Roman"/>
          <w:spacing w:val="0"/>
          <w:sz w:val="32"/>
          <w:szCs w:val="32"/>
          <w:highlight w:val="none"/>
          <w:shd w:val="clear" w:color="auto" w:fill="auto"/>
        </w:rPr>
        <w:t>从保障现有企业发展和政府资金成本考虑，可采用产权置换方式，由国有公司建设产业用房后，根据征迁补偿协议予以置换。</w:t>
      </w:r>
    </w:p>
    <w:p w14:paraId="1EA20A3D">
      <w:pPr>
        <w:pageBreakBefore w:val="0"/>
        <w:widowControl w:val="0"/>
        <w:kinsoku/>
        <w:wordWrap/>
        <w:overflowPunct/>
        <w:topLinePunct w:val="0"/>
        <w:autoSpaceDE/>
        <w:autoSpaceDN/>
        <w:bidi w:val="0"/>
        <w:adjustRightInd/>
        <w:snapToGrid/>
        <w:spacing w:beforeLines="0" w:afterLines="0" w:line="570" w:lineRule="exact"/>
        <w:ind w:left="0" w:leftChars="0" w:right="0" w:rightChars="0" w:firstLine="640" w:firstLineChars="200"/>
        <w:textAlignment w:val="auto"/>
        <w:rPr>
          <w:rFonts w:hint="eastAsia" w:ascii="Times New Roman" w:hAnsi="Times New Roman" w:eastAsia="仿宋_GB2312" w:cs="Times New Roman"/>
          <w:color w:val="000000"/>
          <w:spacing w:val="0"/>
          <w:sz w:val="32"/>
          <w:szCs w:val="32"/>
          <w:highlight w:val="none"/>
          <w:shd w:val="clear" w:color="auto" w:fill="auto"/>
          <w:lang w:eastAsia="zh-CN"/>
        </w:rPr>
      </w:pPr>
      <w:r>
        <w:rPr>
          <w:rFonts w:hint="default" w:ascii="Times New Roman" w:hAnsi="Times New Roman" w:eastAsia="楷体_GB2312" w:cs="Times New Roman"/>
          <w:b w:val="0"/>
          <w:bCs w:val="0"/>
          <w:color w:val="000000"/>
          <w:spacing w:val="0"/>
          <w:sz w:val="32"/>
          <w:szCs w:val="32"/>
          <w:highlight w:val="none"/>
          <w:shd w:val="clear" w:color="auto" w:fill="auto"/>
        </w:rPr>
        <w:t>（二）企业自主改造。</w:t>
      </w:r>
      <w:r>
        <w:rPr>
          <w:rFonts w:hint="default" w:ascii="Times New Roman" w:hAnsi="Times New Roman" w:eastAsia="仿宋_GB2312" w:cs="Times New Roman"/>
          <w:spacing w:val="0"/>
          <w:sz w:val="32"/>
          <w:szCs w:val="32"/>
          <w:highlight w:val="none"/>
          <w:shd w:val="clear" w:color="auto" w:fill="auto"/>
        </w:rPr>
        <w:t>支持</w:t>
      </w:r>
      <w:r>
        <w:rPr>
          <w:rFonts w:hint="eastAsia" w:ascii="Times New Roman" w:hAnsi="Times New Roman" w:cs="Times New Roman"/>
          <w:spacing w:val="0"/>
          <w:sz w:val="32"/>
          <w:szCs w:val="32"/>
          <w:highlight w:val="none"/>
          <w:shd w:val="clear" w:color="auto" w:fill="auto"/>
          <w:lang w:val="en-US" w:eastAsia="zh-CN"/>
        </w:rPr>
        <w:t>宗地</w:t>
      </w:r>
      <w:r>
        <w:rPr>
          <w:rFonts w:hint="default" w:ascii="Times New Roman" w:hAnsi="Times New Roman" w:eastAsia="仿宋_GB2312" w:cs="Times New Roman"/>
          <w:spacing w:val="0"/>
          <w:sz w:val="32"/>
          <w:szCs w:val="32"/>
          <w:highlight w:val="none"/>
          <w:shd w:val="clear" w:color="auto" w:fill="auto"/>
        </w:rPr>
        <w:t>企业利用现有土地、厂房进行工业用地有机更新。企业满足自身生产需求后的一定比例产业空间，</w:t>
      </w:r>
      <w:r>
        <w:rPr>
          <w:rFonts w:hint="eastAsia" w:ascii="Times New Roman" w:hAnsi="Times New Roman" w:cs="Times New Roman"/>
          <w:spacing w:val="0"/>
          <w:sz w:val="32"/>
          <w:szCs w:val="32"/>
          <w:highlight w:val="none"/>
          <w:shd w:val="clear" w:color="auto" w:fill="auto"/>
          <w:lang w:val="en-US" w:eastAsia="zh-CN"/>
        </w:rPr>
        <w:t>鼓励</w:t>
      </w:r>
      <w:r>
        <w:rPr>
          <w:rFonts w:hint="default" w:ascii="Times New Roman" w:hAnsi="Times New Roman" w:eastAsia="仿宋_GB2312" w:cs="Times New Roman"/>
          <w:spacing w:val="0"/>
          <w:sz w:val="32"/>
          <w:szCs w:val="32"/>
          <w:highlight w:val="none"/>
          <w:shd w:val="clear" w:color="auto" w:fill="auto"/>
        </w:rPr>
        <w:t>用于引培优质企业</w:t>
      </w:r>
      <w:r>
        <w:rPr>
          <w:rFonts w:hint="eastAsia" w:ascii="Times New Roman" w:hAnsi="Times New Roman" w:cs="Times New Roman"/>
          <w:spacing w:val="0"/>
          <w:sz w:val="32"/>
          <w:szCs w:val="32"/>
          <w:highlight w:val="none"/>
          <w:shd w:val="clear" w:color="auto" w:fill="auto"/>
          <w:lang w:eastAsia="zh-CN"/>
        </w:rPr>
        <w:t>，</w:t>
      </w:r>
      <w:r>
        <w:rPr>
          <w:rFonts w:hint="eastAsia" w:ascii="Times New Roman" w:hAnsi="Times New Roman" w:cs="Times New Roman"/>
          <w:spacing w:val="0"/>
          <w:sz w:val="32"/>
          <w:szCs w:val="32"/>
          <w:highlight w:val="none"/>
          <w:shd w:val="clear" w:color="auto" w:fill="auto"/>
          <w:lang w:val="en-US" w:eastAsia="zh-CN"/>
        </w:rPr>
        <w:t>确因产业集群发展需要，根据</w:t>
      </w:r>
      <w:r>
        <w:rPr>
          <w:rFonts w:hint="default" w:ascii="Times New Roman" w:hAnsi="Times New Roman" w:eastAsia="仿宋_GB2312" w:cs="Times New Roman"/>
          <w:spacing w:val="0"/>
          <w:sz w:val="32"/>
          <w:szCs w:val="32"/>
          <w:highlight w:val="none"/>
          <w:shd w:val="clear" w:color="auto" w:fill="auto"/>
        </w:rPr>
        <w:t>杭州市推进低效用地</w:t>
      </w:r>
      <w:r>
        <w:rPr>
          <w:rFonts w:hint="eastAsia" w:cs="Times New Roman"/>
          <w:spacing w:val="0"/>
          <w:sz w:val="32"/>
          <w:szCs w:val="32"/>
          <w:highlight w:val="none"/>
          <w:shd w:val="clear" w:color="auto" w:fill="auto"/>
          <w:lang w:eastAsia="zh-CN"/>
        </w:rPr>
        <w:t>再</w:t>
      </w:r>
      <w:r>
        <w:rPr>
          <w:rFonts w:hint="default" w:ascii="Times New Roman" w:hAnsi="Times New Roman" w:eastAsia="仿宋_GB2312" w:cs="Times New Roman"/>
          <w:spacing w:val="0"/>
          <w:sz w:val="32"/>
          <w:szCs w:val="32"/>
          <w:highlight w:val="none"/>
          <w:shd w:val="clear" w:color="auto" w:fill="auto"/>
        </w:rPr>
        <w:t>开发试点工作</w:t>
      </w:r>
      <w:r>
        <w:rPr>
          <w:rFonts w:hint="eastAsia" w:ascii="Times New Roman" w:hAnsi="Times New Roman" w:cs="Times New Roman"/>
          <w:spacing w:val="0"/>
          <w:sz w:val="32"/>
          <w:szCs w:val="32"/>
          <w:highlight w:val="none"/>
          <w:shd w:val="clear" w:color="auto" w:fill="auto"/>
          <w:lang w:val="en-US" w:eastAsia="zh-CN"/>
        </w:rPr>
        <w:t>相关文件</w:t>
      </w:r>
      <w:r>
        <w:rPr>
          <w:rFonts w:hint="default" w:ascii="Times New Roman" w:hAnsi="Times New Roman" w:eastAsia="仿宋_GB2312" w:cs="Times New Roman"/>
          <w:spacing w:val="0"/>
          <w:sz w:val="32"/>
          <w:szCs w:val="32"/>
          <w:highlight w:val="none"/>
          <w:shd w:val="clear" w:color="auto" w:fill="auto"/>
        </w:rPr>
        <w:t>，可将不超过提容部分建筑面积的45%，按每幢（单元）不小于3000平方米或每层不小于1000平方米分割转让，其中配套建设的行政办公及生活服务设施不得分割转让</w:t>
      </w:r>
      <w:r>
        <w:rPr>
          <w:rFonts w:hint="eastAsia" w:ascii="Times New Roman" w:hAnsi="Times New Roman" w:cs="Times New Roman"/>
          <w:spacing w:val="0"/>
          <w:sz w:val="32"/>
          <w:szCs w:val="32"/>
          <w:highlight w:val="none"/>
          <w:shd w:val="clear" w:color="auto" w:fill="auto"/>
          <w:lang w:eastAsia="zh-CN"/>
        </w:rPr>
        <w:t>。</w:t>
      </w:r>
    </w:p>
    <w:p w14:paraId="474C59EA">
      <w:pPr>
        <w:pageBreakBefore w:val="0"/>
        <w:widowControl w:val="0"/>
        <w:kinsoku/>
        <w:wordWrap/>
        <w:overflowPunct/>
        <w:topLinePunct w:val="0"/>
        <w:autoSpaceDE/>
        <w:autoSpaceDN/>
        <w:bidi w:val="0"/>
        <w:adjustRightInd/>
        <w:snapToGrid/>
        <w:spacing w:beforeLines="0" w:afterLines="0" w:line="570" w:lineRule="exact"/>
        <w:ind w:left="0" w:leftChars="0" w:right="0" w:rightChars="0" w:firstLine="640" w:firstLineChars="200"/>
        <w:textAlignment w:val="auto"/>
        <w:rPr>
          <w:rFonts w:hint="eastAsia" w:ascii="Times New Roman" w:hAnsi="Times New Roman" w:eastAsia="仿宋_GB2312" w:cs="Times New Roman"/>
          <w:spacing w:val="0"/>
          <w:sz w:val="32"/>
          <w:szCs w:val="32"/>
          <w:highlight w:val="none"/>
          <w:shd w:val="clear" w:color="auto" w:fill="auto"/>
          <w:lang w:val="en-US" w:eastAsia="zh-CN"/>
        </w:rPr>
      </w:pPr>
      <w:r>
        <w:rPr>
          <w:rFonts w:hint="default" w:ascii="Times New Roman" w:hAnsi="Times New Roman" w:eastAsia="楷体_GB2312" w:cs="Times New Roman"/>
          <w:b w:val="0"/>
          <w:bCs w:val="0"/>
          <w:color w:val="000000"/>
          <w:spacing w:val="0"/>
          <w:sz w:val="32"/>
          <w:szCs w:val="32"/>
          <w:highlight w:val="none"/>
          <w:shd w:val="clear" w:color="auto" w:fill="auto"/>
        </w:rPr>
        <w:t>（三）社会资本参与改造。</w:t>
      </w:r>
      <w:r>
        <w:rPr>
          <w:rFonts w:hint="default" w:ascii="Times New Roman" w:hAnsi="Times New Roman" w:eastAsia="仿宋_GB2312" w:cs="Times New Roman"/>
          <w:spacing w:val="0"/>
          <w:sz w:val="32"/>
          <w:szCs w:val="32"/>
          <w:highlight w:val="none"/>
          <w:shd w:val="clear" w:color="auto" w:fill="auto"/>
        </w:rPr>
        <w:t>鼓励优势企业</w:t>
      </w:r>
      <w:r>
        <w:rPr>
          <w:rFonts w:hint="eastAsia" w:ascii="Times New Roman" w:hAnsi="Times New Roman" w:cs="Times New Roman"/>
          <w:spacing w:val="0"/>
          <w:sz w:val="32"/>
          <w:szCs w:val="32"/>
          <w:highlight w:val="none"/>
          <w:shd w:val="clear" w:color="auto" w:fill="auto"/>
          <w:lang w:eastAsia="zh-CN"/>
        </w:rPr>
        <w:t>（已上市</w:t>
      </w:r>
      <w:r>
        <w:rPr>
          <w:rFonts w:hint="eastAsia" w:ascii="Times New Roman" w:hAnsi="Times New Roman" w:cs="Times New Roman"/>
          <w:spacing w:val="0"/>
          <w:sz w:val="32"/>
          <w:szCs w:val="32"/>
          <w:highlight w:val="none"/>
          <w:shd w:val="clear" w:color="auto" w:fill="auto"/>
          <w:lang w:val="en-US" w:eastAsia="zh-CN"/>
        </w:rPr>
        <w:t>企业</w:t>
      </w:r>
      <w:r>
        <w:rPr>
          <w:rFonts w:hint="eastAsia" w:ascii="Times New Roman" w:hAnsi="Times New Roman" w:cs="Times New Roman"/>
          <w:spacing w:val="0"/>
          <w:sz w:val="32"/>
          <w:szCs w:val="32"/>
          <w:highlight w:val="none"/>
          <w:shd w:val="clear" w:color="auto" w:fill="auto"/>
          <w:lang w:eastAsia="zh-CN"/>
        </w:rPr>
        <w:t>、“雄鹰计划”企业、工信部制造业单项冠军、工信部专精特新“小巨人”、浙江省隐形冠军等企业或亩均评价A类工业企业）</w:t>
      </w:r>
      <w:r>
        <w:rPr>
          <w:rFonts w:hint="default" w:ascii="Times New Roman" w:hAnsi="Times New Roman" w:eastAsia="仿宋_GB2312" w:cs="Times New Roman"/>
          <w:spacing w:val="0"/>
          <w:sz w:val="32"/>
          <w:szCs w:val="32"/>
          <w:highlight w:val="none"/>
          <w:shd w:val="clear" w:color="auto" w:fill="auto"/>
        </w:rPr>
        <w:t>、</w:t>
      </w:r>
      <w:r>
        <w:rPr>
          <w:rFonts w:hint="eastAsia" w:ascii="Times New Roman" w:hAnsi="Times New Roman" w:cs="Times New Roman"/>
          <w:spacing w:val="0"/>
          <w:sz w:val="32"/>
          <w:szCs w:val="32"/>
          <w:highlight w:val="none"/>
          <w:shd w:val="clear" w:color="auto" w:fill="auto"/>
          <w:lang w:val="en-US" w:eastAsia="zh-CN"/>
        </w:rPr>
        <w:t>国有平台公司和“链主”企业、行业龙头企业、</w:t>
      </w:r>
      <w:r>
        <w:rPr>
          <w:rFonts w:hint="default" w:ascii="Times New Roman" w:hAnsi="Times New Roman" w:eastAsia="仿宋_GB2312" w:cs="Times New Roman"/>
          <w:spacing w:val="0"/>
          <w:sz w:val="32"/>
          <w:szCs w:val="32"/>
          <w:highlight w:val="none"/>
          <w:shd w:val="clear" w:color="auto" w:fill="auto"/>
        </w:rPr>
        <w:t>优质</w:t>
      </w:r>
      <w:r>
        <w:rPr>
          <w:rFonts w:hint="eastAsia" w:ascii="Times New Roman" w:hAnsi="Times New Roman" w:cs="Times New Roman"/>
          <w:spacing w:val="0"/>
          <w:sz w:val="32"/>
          <w:szCs w:val="32"/>
          <w:highlight w:val="none"/>
          <w:shd w:val="clear" w:color="auto" w:fill="auto"/>
          <w:lang w:val="en-US" w:eastAsia="zh-CN"/>
        </w:rPr>
        <w:t>产业</w:t>
      </w:r>
      <w:r>
        <w:rPr>
          <w:rFonts w:hint="default" w:ascii="Times New Roman" w:hAnsi="Times New Roman" w:eastAsia="仿宋_GB2312" w:cs="Times New Roman"/>
          <w:spacing w:val="0"/>
          <w:sz w:val="32"/>
          <w:szCs w:val="32"/>
          <w:highlight w:val="none"/>
          <w:shd w:val="clear" w:color="auto" w:fill="auto"/>
        </w:rPr>
        <w:t>园区运营商</w:t>
      </w:r>
      <w:r>
        <w:rPr>
          <w:rFonts w:hint="eastAsia" w:ascii="Times New Roman" w:hAnsi="Times New Roman" w:cs="Times New Roman"/>
          <w:spacing w:val="0"/>
          <w:sz w:val="32"/>
          <w:szCs w:val="32"/>
          <w:highlight w:val="none"/>
          <w:shd w:val="clear" w:color="auto" w:fill="auto"/>
          <w:lang w:val="en-US" w:eastAsia="zh-CN"/>
        </w:rPr>
        <w:t>等市场主体参与</w:t>
      </w:r>
      <w:r>
        <w:rPr>
          <w:rFonts w:hint="default" w:ascii="Times New Roman" w:hAnsi="Times New Roman" w:eastAsia="仿宋_GB2312" w:cs="Times New Roman"/>
          <w:spacing w:val="0"/>
          <w:sz w:val="32"/>
          <w:szCs w:val="32"/>
          <w:highlight w:val="none"/>
          <w:shd w:val="clear" w:color="auto" w:fill="auto"/>
        </w:rPr>
        <w:t>工业用地有机更新</w:t>
      </w:r>
      <w:r>
        <w:rPr>
          <w:rFonts w:hint="eastAsia" w:ascii="Times New Roman" w:hAnsi="Times New Roman" w:cs="Times New Roman"/>
          <w:spacing w:val="0"/>
          <w:sz w:val="32"/>
          <w:szCs w:val="32"/>
          <w:highlight w:val="none"/>
          <w:shd w:val="clear" w:color="auto" w:fill="auto"/>
          <w:lang w:eastAsia="zh-CN"/>
        </w:rPr>
        <w:t>，</w:t>
      </w:r>
      <w:r>
        <w:rPr>
          <w:rFonts w:hint="eastAsia" w:ascii="Times New Roman" w:hAnsi="Times New Roman" w:cs="Times New Roman"/>
          <w:spacing w:val="0"/>
          <w:sz w:val="32"/>
          <w:szCs w:val="32"/>
          <w:highlight w:val="none"/>
          <w:shd w:val="clear" w:color="auto" w:fill="auto"/>
          <w:lang w:val="en-US" w:eastAsia="zh-CN"/>
        </w:rPr>
        <w:t>并签订出让合同补充协议及履约监管协议，约定项目验收通过后产权分割比例，按单一产权分割登记。</w:t>
      </w:r>
    </w:p>
    <w:p w14:paraId="216C58CA">
      <w:pPr>
        <w:pageBreakBefore w:val="0"/>
        <w:widowControl w:val="0"/>
        <w:kinsoku/>
        <w:wordWrap/>
        <w:overflowPunct/>
        <w:topLinePunct w:val="0"/>
        <w:autoSpaceDE/>
        <w:autoSpaceDN/>
        <w:bidi w:val="0"/>
        <w:adjustRightInd/>
        <w:snapToGrid/>
        <w:spacing w:beforeLines="0" w:afterLines="0" w:line="570" w:lineRule="exact"/>
        <w:ind w:left="0" w:leftChars="0" w:right="0" w:rightChars="0" w:firstLine="640" w:firstLineChars="200"/>
        <w:textAlignment w:val="auto"/>
        <w:rPr>
          <w:rFonts w:hint="default" w:ascii="Times New Roman" w:hAnsi="Times New Roman" w:eastAsia="黑体" w:cs="Times New Roman"/>
          <w:color w:val="000000"/>
          <w:spacing w:val="0"/>
          <w:sz w:val="32"/>
          <w:szCs w:val="32"/>
          <w:highlight w:val="none"/>
          <w:shd w:val="clear" w:color="auto" w:fill="auto"/>
        </w:rPr>
      </w:pPr>
      <w:r>
        <w:rPr>
          <w:rFonts w:hint="default" w:ascii="Times New Roman" w:hAnsi="Times New Roman" w:eastAsia="黑体" w:cs="Times New Roman"/>
          <w:color w:val="000000"/>
          <w:spacing w:val="0"/>
          <w:sz w:val="32"/>
          <w:szCs w:val="32"/>
          <w:highlight w:val="none"/>
          <w:shd w:val="clear" w:color="auto" w:fill="auto"/>
        </w:rPr>
        <w:t>六、政策举措</w:t>
      </w:r>
    </w:p>
    <w:p w14:paraId="450C3413">
      <w:pPr>
        <w:pageBreakBefore w:val="0"/>
        <w:widowControl w:val="0"/>
        <w:kinsoku/>
        <w:wordWrap/>
        <w:overflowPunct/>
        <w:topLinePunct w:val="0"/>
        <w:autoSpaceDE/>
        <w:autoSpaceDN/>
        <w:bidi w:val="0"/>
        <w:adjustRightInd/>
        <w:snapToGrid/>
        <w:spacing w:beforeLines="0" w:afterLines="0" w:line="570" w:lineRule="exact"/>
        <w:ind w:left="0" w:leftChars="0" w:right="0" w:rightChars="0" w:firstLine="640" w:firstLineChars="200"/>
        <w:textAlignment w:val="auto"/>
        <w:rPr>
          <w:rFonts w:hint="default" w:ascii="Times New Roman" w:hAnsi="Times New Roman" w:cs="Times New Roman"/>
          <w:b/>
          <w:bCs/>
          <w:color w:val="000000"/>
          <w:spacing w:val="0"/>
          <w:sz w:val="32"/>
          <w:szCs w:val="32"/>
          <w:highlight w:val="none"/>
          <w:shd w:val="clear" w:color="auto" w:fill="auto"/>
        </w:rPr>
      </w:pPr>
      <w:r>
        <w:rPr>
          <w:rFonts w:hint="default" w:ascii="Times New Roman" w:hAnsi="Times New Roman" w:eastAsia="楷体_GB2312" w:cs="Times New Roman"/>
          <w:b w:val="0"/>
          <w:bCs w:val="0"/>
          <w:color w:val="000000"/>
          <w:spacing w:val="0"/>
          <w:sz w:val="32"/>
          <w:szCs w:val="32"/>
          <w:highlight w:val="none"/>
          <w:shd w:val="clear" w:color="auto" w:fill="auto"/>
        </w:rPr>
        <w:t>（一）</w:t>
      </w:r>
      <w:r>
        <w:rPr>
          <w:rFonts w:hint="default" w:ascii="Times New Roman" w:hAnsi="Times New Roman" w:eastAsia="楷体_GB2312" w:cs="Times New Roman"/>
          <w:b w:val="0"/>
          <w:color w:val="000000"/>
          <w:spacing w:val="0"/>
          <w:sz w:val="32"/>
          <w:szCs w:val="32"/>
          <w:highlight w:val="none"/>
          <w:shd w:val="clear" w:color="auto" w:fill="auto"/>
        </w:rPr>
        <w:t>突破发展限制</w:t>
      </w:r>
      <w:r>
        <w:rPr>
          <w:rFonts w:hint="eastAsia" w:ascii="Times New Roman" w:hAnsi="Times New Roman" w:eastAsia="楷体_GB2312" w:cs="Times New Roman"/>
          <w:b w:val="0"/>
          <w:color w:val="000000"/>
          <w:spacing w:val="0"/>
          <w:sz w:val="32"/>
          <w:szCs w:val="32"/>
          <w:highlight w:val="none"/>
          <w:shd w:val="clear" w:color="auto" w:fill="auto"/>
          <w:lang w:eastAsia="zh-CN"/>
        </w:rPr>
        <w:t>，</w:t>
      </w:r>
      <w:r>
        <w:rPr>
          <w:rFonts w:hint="eastAsia" w:ascii="Times New Roman" w:hAnsi="Times New Roman" w:eastAsia="楷体_GB2312" w:cs="Times New Roman"/>
          <w:b w:val="0"/>
          <w:color w:val="000000"/>
          <w:spacing w:val="0"/>
          <w:sz w:val="32"/>
          <w:szCs w:val="32"/>
          <w:highlight w:val="none"/>
          <w:shd w:val="clear" w:color="auto" w:fill="auto"/>
          <w:lang w:val="en-US" w:eastAsia="zh-CN"/>
        </w:rPr>
        <w:t>积极鼓励探索</w:t>
      </w:r>
      <w:r>
        <w:rPr>
          <w:rFonts w:hint="default" w:ascii="Times New Roman" w:hAnsi="Times New Roman" w:eastAsia="楷体_GB2312" w:cs="Times New Roman"/>
          <w:b w:val="0"/>
          <w:color w:val="000000"/>
          <w:spacing w:val="0"/>
          <w:sz w:val="32"/>
          <w:szCs w:val="32"/>
          <w:highlight w:val="none"/>
          <w:shd w:val="clear" w:color="auto" w:fill="auto"/>
        </w:rPr>
        <w:t>。</w:t>
      </w:r>
      <w:r>
        <w:rPr>
          <w:rFonts w:hint="eastAsia" w:ascii="Times New Roman" w:hAnsi="Times New Roman" w:cs="Times New Roman"/>
          <w:spacing w:val="0"/>
          <w:sz w:val="32"/>
          <w:szCs w:val="32"/>
          <w:highlight w:val="none"/>
          <w:shd w:val="clear" w:color="auto" w:fill="auto"/>
          <w:lang w:eastAsia="zh-CN"/>
        </w:rPr>
        <w:t>在不违反国土空间规划上位刚性管控要求的前提下，</w:t>
      </w:r>
      <w:r>
        <w:rPr>
          <w:rFonts w:hint="eastAsia" w:ascii="Times New Roman" w:hAnsi="Times New Roman" w:cs="Times New Roman"/>
          <w:spacing w:val="0"/>
          <w:sz w:val="32"/>
          <w:szCs w:val="32"/>
          <w:highlight w:val="none"/>
          <w:shd w:val="clear" w:color="auto" w:fill="auto"/>
          <w:lang w:val="en-US" w:eastAsia="zh-CN"/>
        </w:rPr>
        <w:t>允许</w:t>
      </w:r>
      <w:r>
        <w:rPr>
          <w:rFonts w:hint="eastAsia" w:ascii="Times New Roman" w:hAnsi="Times New Roman" w:cs="Times New Roman"/>
          <w:spacing w:val="0"/>
          <w:sz w:val="32"/>
          <w:szCs w:val="32"/>
          <w:highlight w:val="none"/>
          <w:shd w:val="clear" w:color="auto" w:fill="auto"/>
          <w:lang w:eastAsia="zh-CN"/>
        </w:rPr>
        <w:t>符合详细规划的用地范围</w:t>
      </w:r>
      <w:r>
        <w:rPr>
          <w:rFonts w:hint="eastAsia" w:ascii="Times New Roman" w:hAnsi="Times New Roman" w:cs="Times New Roman"/>
          <w:spacing w:val="0"/>
          <w:sz w:val="32"/>
          <w:szCs w:val="32"/>
          <w:highlight w:val="none"/>
          <w:shd w:val="clear" w:color="auto" w:fill="auto"/>
          <w:lang w:val="en-US" w:eastAsia="zh-CN"/>
        </w:rPr>
        <w:t>实施再开发，</w:t>
      </w:r>
      <w:r>
        <w:rPr>
          <w:rFonts w:hint="eastAsia" w:ascii="Times New Roman" w:hAnsi="Times New Roman" w:cs="Times New Roman"/>
          <w:spacing w:val="0"/>
          <w:sz w:val="32"/>
          <w:szCs w:val="32"/>
          <w:highlight w:val="none"/>
          <w:shd w:val="clear" w:color="auto" w:fill="auto"/>
          <w:lang w:eastAsia="zh-CN"/>
        </w:rPr>
        <w:t>建筑退距可按改造后不低于现状的标准进行审查；鼓励绿地统筹集中布置，单宗地块绿地率可不作要求；停车配建标准</w:t>
      </w:r>
      <w:r>
        <w:rPr>
          <w:rFonts w:hint="eastAsia" w:ascii="Times New Roman" w:hAnsi="Times New Roman" w:cs="Times New Roman"/>
          <w:spacing w:val="0"/>
          <w:sz w:val="32"/>
          <w:szCs w:val="32"/>
          <w:highlight w:val="none"/>
          <w:shd w:val="clear" w:color="auto" w:fill="auto"/>
          <w:lang w:val="en-US" w:eastAsia="zh-CN"/>
        </w:rPr>
        <w:t>要</w:t>
      </w:r>
      <w:r>
        <w:rPr>
          <w:rFonts w:hint="eastAsia" w:ascii="Times New Roman" w:hAnsi="Times New Roman" w:cs="Times New Roman"/>
          <w:spacing w:val="0"/>
          <w:sz w:val="32"/>
          <w:szCs w:val="32"/>
          <w:highlight w:val="none"/>
          <w:shd w:val="clear" w:color="auto" w:fill="auto"/>
          <w:lang w:eastAsia="zh-CN"/>
        </w:rPr>
        <w:t>综合考虑产业类型、产业形态、产业功能等因素，</w:t>
      </w:r>
      <w:r>
        <w:rPr>
          <w:rFonts w:hint="eastAsia" w:ascii="Times New Roman" w:hAnsi="Times New Roman" w:cs="Times New Roman"/>
          <w:spacing w:val="0"/>
          <w:sz w:val="32"/>
          <w:szCs w:val="32"/>
          <w:highlight w:val="none"/>
          <w:shd w:val="clear" w:color="auto" w:fill="auto"/>
          <w:lang w:val="en-US" w:eastAsia="zh-CN"/>
        </w:rPr>
        <w:t>分类确定配建标准，具体由建设主管部门另行制定</w:t>
      </w:r>
      <w:r>
        <w:rPr>
          <w:rFonts w:hint="eastAsia" w:ascii="Times New Roman" w:hAnsi="Times New Roman" w:cs="Times New Roman"/>
          <w:spacing w:val="0"/>
          <w:sz w:val="32"/>
          <w:szCs w:val="32"/>
          <w:highlight w:val="none"/>
          <w:shd w:val="clear" w:color="auto" w:fill="auto"/>
          <w:lang w:eastAsia="zh-CN"/>
        </w:rPr>
        <w:t>。</w:t>
      </w:r>
      <w:r>
        <w:rPr>
          <w:rFonts w:hint="default" w:ascii="Times New Roman" w:hAnsi="Times New Roman" w:eastAsia="仿宋_GB2312" w:cs="Times New Roman"/>
          <w:spacing w:val="0"/>
          <w:sz w:val="32"/>
          <w:szCs w:val="32"/>
          <w:highlight w:val="none"/>
          <w:shd w:val="clear" w:color="auto" w:fill="auto"/>
        </w:rPr>
        <w:t>对经批准实施有机更新的项目，鼓励在符合详规前提下提高开发强度，原则上按不低于2.5控制，国有公司开发项目试点探索3.5以上容积率。</w:t>
      </w:r>
    </w:p>
    <w:p w14:paraId="33236D50">
      <w:pPr>
        <w:pageBreakBefore w:val="0"/>
        <w:widowControl w:val="0"/>
        <w:kinsoku/>
        <w:wordWrap/>
        <w:overflowPunct/>
        <w:topLinePunct w:val="0"/>
        <w:autoSpaceDE/>
        <w:autoSpaceDN/>
        <w:bidi w:val="0"/>
        <w:adjustRightInd/>
        <w:snapToGrid/>
        <w:spacing w:beforeLines="0" w:afterLines="0" w:line="570" w:lineRule="exact"/>
        <w:ind w:left="0" w:leftChars="0" w:right="0" w:rightChars="0" w:firstLine="640" w:firstLineChars="200"/>
        <w:textAlignment w:val="auto"/>
        <w:rPr>
          <w:rFonts w:hint="eastAsia" w:ascii="Times New Roman" w:hAnsi="Times New Roman" w:eastAsia="仿宋_GB2312" w:cs="Times New Roman"/>
          <w:color w:val="000000"/>
          <w:spacing w:val="0"/>
          <w:sz w:val="32"/>
          <w:szCs w:val="32"/>
          <w:highlight w:val="none"/>
          <w:shd w:val="clear" w:color="auto" w:fill="auto"/>
          <w:lang w:eastAsia="zh-CN"/>
        </w:rPr>
      </w:pPr>
      <w:r>
        <w:rPr>
          <w:rFonts w:hint="default" w:ascii="Times New Roman" w:hAnsi="Times New Roman" w:eastAsia="楷体_GB2312" w:cs="Times New Roman"/>
          <w:b w:val="0"/>
          <w:bCs w:val="0"/>
          <w:color w:val="000000"/>
          <w:spacing w:val="0"/>
          <w:sz w:val="32"/>
          <w:szCs w:val="32"/>
          <w:highlight w:val="none"/>
          <w:shd w:val="clear" w:color="auto" w:fill="auto"/>
        </w:rPr>
        <w:t>（二）</w:t>
      </w:r>
      <w:r>
        <w:rPr>
          <w:rFonts w:hint="default" w:ascii="Times New Roman" w:hAnsi="Times New Roman" w:eastAsia="楷体_GB2312" w:cs="Times New Roman"/>
          <w:b w:val="0"/>
          <w:color w:val="000000"/>
          <w:spacing w:val="0"/>
          <w:sz w:val="32"/>
          <w:szCs w:val="32"/>
          <w:highlight w:val="none"/>
          <w:shd w:val="clear" w:color="auto" w:fill="auto"/>
        </w:rPr>
        <w:t>优化项目审批</w:t>
      </w:r>
      <w:r>
        <w:rPr>
          <w:rFonts w:hint="eastAsia" w:ascii="Times New Roman" w:hAnsi="Times New Roman" w:eastAsia="楷体_GB2312" w:cs="Times New Roman"/>
          <w:b w:val="0"/>
          <w:color w:val="000000"/>
          <w:spacing w:val="0"/>
          <w:sz w:val="32"/>
          <w:szCs w:val="32"/>
          <w:highlight w:val="none"/>
          <w:shd w:val="clear" w:color="auto" w:fill="auto"/>
          <w:lang w:eastAsia="zh-CN"/>
        </w:rPr>
        <w:t>，</w:t>
      </w:r>
      <w:r>
        <w:rPr>
          <w:rFonts w:hint="default" w:ascii="Times New Roman" w:hAnsi="Times New Roman" w:eastAsia="楷体_GB2312" w:cs="Times New Roman"/>
          <w:b w:val="0"/>
          <w:color w:val="000000"/>
          <w:spacing w:val="0"/>
          <w:sz w:val="32"/>
          <w:szCs w:val="32"/>
          <w:highlight w:val="none"/>
          <w:shd w:val="clear" w:color="auto" w:fill="auto"/>
        </w:rPr>
        <w:t>强化全程监管。</w:t>
      </w:r>
      <w:r>
        <w:rPr>
          <w:rFonts w:hint="default" w:ascii="Times New Roman" w:hAnsi="Times New Roman" w:eastAsia="仿宋_GB2312" w:cs="Times New Roman"/>
          <w:spacing w:val="0"/>
          <w:sz w:val="32"/>
          <w:szCs w:val="32"/>
          <w:highlight w:val="none"/>
          <w:shd w:val="clear" w:color="auto" w:fill="auto"/>
        </w:rPr>
        <w:t>围绕“最多跑一次”改革，进一步精简工业用地有机更新项目的审批环节，开展部门并联审批，缩短审批流程，切实提高审批效率，原则上有机更新新建项目需在经批准后3个月内开工。完善工业用地一二级市场监管体系，支持属地平台、镇街行使土地使用权的优先收购权，放弃优先收购权的，须报经区工业用地有机更新领导小组批准。不动产权转让前，受让人须与属地平台、镇街签订履约监管协议，约定地块产出指标。</w:t>
      </w:r>
    </w:p>
    <w:p w14:paraId="7961141A">
      <w:pPr>
        <w:pageBreakBefore w:val="0"/>
        <w:widowControl w:val="0"/>
        <w:kinsoku/>
        <w:wordWrap/>
        <w:overflowPunct/>
        <w:topLinePunct w:val="0"/>
        <w:autoSpaceDE/>
        <w:autoSpaceDN/>
        <w:bidi w:val="0"/>
        <w:adjustRightInd/>
        <w:snapToGrid/>
        <w:spacing w:beforeLines="0" w:afterLines="0" w:line="570" w:lineRule="exact"/>
        <w:ind w:left="0" w:leftChars="0" w:right="0" w:rightChars="0" w:firstLine="640" w:firstLineChars="200"/>
        <w:textAlignment w:val="auto"/>
        <w:rPr>
          <w:rFonts w:hint="default" w:ascii="Times New Roman" w:hAnsi="Times New Roman" w:eastAsia="仿宋_GB2312" w:cs="Times New Roman"/>
          <w:spacing w:val="0"/>
          <w:sz w:val="32"/>
          <w:szCs w:val="32"/>
          <w:highlight w:val="none"/>
          <w:shd w:val="clear" w:color="auto" w:fill="auto"/>
        </w:rPr>
      </w:pPr>
      <w:r>
        <w:rPr>
          <w:rFonts w:hint="default" w:ascii="Times New Roman" w:hAnsi="Times New Roman" w:eastAsia="楷体_GB2312" w:cs="Times New Roman"/>
          <w:b w:val="0"/>
          <w:bCs w:val="0"/>
          <w:color w:val="000000"/>
          <w:spacing w:val="0"/>
          <w:sz w:val="32"/>
          <w:szCs w:val="32"/>
          <w:highlight w:val="none"/>
          <w:shd w:val="clear" w:color="auto" w:fill="auto"/>
        </w:rPr>
        <w:t>（三）</w:t>
      </w:r>
      <w:r>
        <w:rPr>
          <w:rFonts w:hint="eastAsia" w:ascii="Times New Roman" w:hAnsi="Times New Roman" w:eastAsia="楷体_GB2312" w:cs="Times New Roman"/>
          <w:b w:val="0"/>
          <w:bCs w:val="0"/>
          <w:color w:val="000000"/>
          <w:spacing w:val="0"/>
          <w:sz w:val="32"/>
          <w:szCs w:val="32"/>
          <w:highlight w:val="none"/>
          <w:shd w:val="clear" w:color="auto" w:fill="auto"/>
          <w:lang w:val="en-US" w:eastAsia="zh-CN"/>
        </w:rPr>
        <w:t>推动低效整治，</w:t>
      </w:r>
      <w:r>
        <w:rPr>
          <w:rFonts w:hint="default" w:ascii="Times New Roman" w:hAnsi="Times New Roman" w:eastAsia="楷体_GB2312" w:cs="Times New Roman"/>
          <w:b w:val="0"/>
          <w:color w:val="000000"/>
          <w:spacing w:val="0"/>
          <w:sz w:val="32"/>
          <w:szCs w:val="32"/>
          <w:highlight w:val="none"/>
          <w:shd w:val="clear" w:color="auto" w:fill="auto"/>
        </w:rPr>
        <w:t>加快腾笼换鸟。</w:t>
      </w:r>
      <w:r>
        <w:rPr>
          <w:rFonts w:hint="default" w:ascii="Times New Roman" w:hAnsi="Times New Roman" w:eastAsia="仿宋_GB2312" w:cs="Times New Roman"/>
          <w:spacing w:val="0"/>
          <w:sz w:val="32"/>
          <w:szCs w:val="32"/>
          <w:highlight w:val="none"/>
          <w:shd w:val="clear" w:color="auto" w:fill="auto"/>
        </w:rPr>
        <w:t>动态调整产业投资项目负面清单，严格租赁企业进驻管理，严控低端产业和低效企业进入。完善亩产论英雄综合评价，对不符合产业导向，特别是高能耗、高污染、低产出的劣势企业，落实用地、用能、排污、金融、财政等资源要素供给价格和方式实行差别化政策，实施限期腾退。</w:t>
      </w:r>
      <w:r>
        <w:rPr>
          <w:rFonts w:hint="eastAsia" w:ascii="Times New Roman" w:hAnsi="Times New Roman" w:cs="Times New Roman"/>
          <w:spacing w:val="0"/>
          <w:sz w:val="32"/>
          <w:szCs w:val="32"/>
          <w:highlight w:val="none"/>
          <w:shd w:val="clear" w:color="auto" w:fill="auto"/>
          <w:lang w:val="en-US" w:eastAsia="zh-CN"/>
        </w:rPr>
        <w:t>经司法拍卖或破产清算的工业用地，应按合同约定的规划条件进行开发建设，支持属地政府将其纳入“标准地”管理签订履约监管协议；拟实施再开发的，在符合规划前提下，可重新核发规划条件，签订出让合同补充协议及履约监管协议，重新约定开竣工期限。</w:t>
      </w:r>
    </w:p>
    <w:p w14:paraId="7F3C2624">
      <w:pPr>
        <w:pageBreakBefore w:val="0"/>
        <w:widowControl w:val="0"/>
        <w:kinsoku/>
        <w:wordWrap/>
        <w:overflowPunct/>
        <w:topLinePunct w:val="0"/>
        <w:autoSpaceDE/>
        <w:autoSpaceDN/>
        <w:bidi w:val="0"/>
        <w:adjustRightInd/>
        <w:snapToGrid/>
        <w:spacing w:beforeLines="0" w:afterLines="0" w:line="570" w:lineRule="exact"/>
        <w:ind w:left="0" w:leftChars="0" w:right="0" w:rightChars="0" w:firstLine="640" w:firstLineChars="200"/>
        <w:textAlignment w:val="auto"/>
        <w:rPr>
          <w:rFonts w:hint="eastAsia" w:ascii="Times New Roman" w:hAnsi="Times New Roman" w:cs="Times New Roman"/>
          <w:spacing w:val="0"/>
          <w:sz w:val="32"/>
          <w:szCs w:val="32"/>
          <w:highlight w:val="none"/>
          <w:shd w:val="clear" w:color="auto" w:fill="auto"/>
          <w:lang w:eastAsia="zh-CN"/>
        </w:rPr>
      </w:pPr>
      <w:r>
        <w:rPr>
          <w:rFonts w:hint="default" w:ascii="Times New Roman" w:hAnsi="Times New Roman" w:eastAsia="楷体_GB2312" w:cs="Times New Roman"/>
          <w:b w:val="0"/>
          <w:bCs w:val="0"/>
          <w:color w:val="000000"/>
          <w:spacing w:val="0"/>
          <w:sz w:val="32"/>
          <w:szCs w:val="32"/>
          <w:highlight w:val="none"/>
          <w:shd w:val="clear" w:color="auto" w:fill="auto"/>
        </w:rPr>
        <w:t>（四）</w:t>
      </w:r>
      <w:r>
        <w:rPr>
          <w:rFonts w:hint="eastAsia" w:ascii="Times New Roman" w:hAnsi="Times New Roman" w:eastAsia="楷体_GB2312" w:cs="Times New Roman"/>
          <w:b w:val="0"/>
          <w:bCs w:val="0"/>
          <w:color w:val="000000"/>
          <w:spacing w:val="0"/>
          <w:sz w:val="32"/>
          <w:szCs w:val="32"/>
          <w:highlight w:val="none"/>
          <w:shd w:val="clear" w:color="auto" w:fill="auto"/>
          <w:lang w:val="en-US" w:eastAsia="zh-CN"/>
        </w:rPr>
        <w:t>支持并宗开发</w:t>
      </w:r>
      <w:r>
        <w:rPr>
          <w:rFonts w:hint="eastAsia" w:ascii="Times New Roman" w:hAnsi="Times New Roman" w:eastAsia="楷体_GB2312" w:cs="Times New Roman"/>
          <w:b w:val="0"/>
          <w:color w:val="000000"/>
          <w:spacing w:val="0"/>
          <w:sz w:val="32"/>
          <w:szCs w:val="32"/>
          <w:highlight w:val="none"/>
          <w:shd w:val="clear" w:color="auto" w:fill="auto"/>
          <w:lang w:eastAsia="zh-CN"/>
        </w:rPr>
        <w:t>，</w:t>
      </w:r>
      <w:r>
        <w:rPr>
          <w:rFonts w:hint="eastAsia" w:ascii="Times New Roman" w:hAnsi="Times New Roman" w:eastAsia="楷体_GB2312" w:cs="Times New Roman"/>
          <w:b w:val="0"/>
          <w:color w:val="000000"/>
          <w:spacing w:val="0"/>
          <w:sz w:val="32"/>
          <w:szCs w:val="32"/>
          <w:highlight w:val="none"/>
          <w:shd w:val="clear" w:color="auto" w:fill="auto"/>
          <w:lang w:val="en-US" w:eastAsia="zh-CN"/>
        </w:rPr>
        <w:t>用好零星土地</w:t>
      </w:r>
      <w:r>
        <w:rPr>
          <w:rFonts w:hint="eastAsia" w:ascii="Times New Roman" w:hAnsi="Times New Roman" w:eastAsia="楷体_GB2312" w:cs="Times New Roman"/>
          <w:b w:val="0"/>
          <w:color w:val="000000"/>
          <w:spacing w:val="0"/>
          <w:sz w:val="32"/>
          <w:szCs w:val="32"/>
          <w:highlight w:val="none"/>
          <w:shd w:val="clear" w:color="auto" w:fill="auto"/>
          <w:lang w:eastAsia="zh-CN"/>
        </w:rPr>
        <w:t>。</w:t>
      </w:r>
      <w:r>
        <w:rPr>
          <w:rFonts w:hint="eastAsia" w:ascii="Times New Roman" w:hAnsi="Times New Roman" w:eastAsia="仿宋_GB2312" w:cs="Times New Roman"/>
          <w:spacing w:val="0"/>
          <w:sz w:val="32"/>
          <w:szCs w:val="32"/>
          <w:highlight w:val="none"/>
          <w:shd w:val="clear" w:color="auto" w:fill="auto"/>
          <w:lang w:val="en-US" w:eastAsia="zh-CN"/>
        </w:rPr>
        <w:t>相邻工业用地</w:t>
      </w:r>
      <w:r>
        <w:rPr>
          <w:rFonts w:hint="eastAsia" w:ascii="Times New Roman" w:hAnsi="Times New Roman" w:eastAsia="仿宋_GB2312" w:cs="Times New Roman"/>
          <w:spacing w:val="0"/>
          <w:sz w:val="32"/>
          <w:szCs w:val="32"/>
          <w:highlight w:val="none"/>
          <w:shd w:val="clear" w:color="auto" w:fill="auto"/>
          <w:lang w:eastAsia="zh-CN"/>
        </w:rPr>
        <w:t>在符合规划、不改变土地用途的前提下可以并宗再开发，并签订出让合同补充协议及履约监管协议，规划建设指标、投入产出要求可统筹平衡；涉及不同主体并宗再开发的，建成后可按约定进行分割登记；涉及不同权利性质、使用年限的，可以协议方式办理用地手续，按规定补缴土地价款，并办理不动产登记。</w:t>
      </w:r>
      <w:r>
        <w:rPr>
          <w:rFonts w:hint="eastAsia" w:ascii="Times New Roman" w:hAnsi="Times New Roman" w:cs="Times New Roman"/>
          <w:spacing w:val="0"/>
          <w:sz w:val="32"/>
          <w:szCs w:val="32"/>
          <w:highlight w:val="none"/>
          <w:shd w:val="clear" w:color="auto" w:fill="auto"/>
          <w:lang w:val="en-US" w:eastAsia="zh-CN"/>
        </w:rPr>
        <w:t>对有机更新涉及的</w:t>
      </w:r>
      <w:r>
        <w:rPr>
          <w:rFonts w:hint="eastAsia" w:ascii="Times New Roman" w:hAnsi="Times New Roman" w:cs="Times New Roman"/>
          <w:spacing w:val="0"/>
          <w:sz w:val="32"/>
          <w:szCs w:val="32"/>
          <w:highlight w:val="none"/>
          <w:shd w:val="clear" w:color="auto" w:fill="auto"/>
          <w:lang w:eastAsia="zh-CN"/>
        </w:rPr>
        <w:t>边角地、夹心地、插花地</w:t>
      </w:r>
      <w:r>
        <w:rPr>
          <w:rFonts w:hint="eastAsia" w:ascii="Times New Roman" w:hAnsi="Times New Roman" w:cs="Times New Roman"/>
          <w:spacing w:val="0"/>
          <w:sz w:val="32"/>
          <w:szCs w:val="32"/>
          <w:highlight w:val="none"/>
          <w:shd w:val="clear" w:color="auto" w:fill="auto"/>
          <w:lang w:val="en-US" w:eastAsia="zh-CN"/>
        </w:rPr>
        <w:t>等零星用地</w:t>
      </w:r>
      <w:r>
        <w:rPr>
          <w:rFonts w:hint="eastAsia" w:ascii="Times New Roman" w:hAnsi="Times New Roman" w:cs="Times New Roman"/>
          <w:spacing w:val="0"/>
          <w:sz w:val="32"/>
          <w:szCs w:val="32"/>
          <w:highlight w:val="none"/>
          <w:shd w:val="clear" w:color="auto" w:fill="auto"/>
          <w:lang w:eastAsia="zh-CN"/>
        </w:rPr>
        <w:t>经规划资源部门组织论证不具备单独开发条件的，报</w:t>
      </w:r>
      <w:r>
        <w:rPr>
          <w:rFonts w:hint="eastAsia" w:ascii="Times New Roman" w:hAnsi="Times New Roman" w:cs="Times New Roman"/>
          <w:spacing w:val="0"/>
          <w:sz w:val="32"/>
          <w:szCs w:val="32"/>
          <w:highlight w:val="none"/>
          <w:shd w:val="clear" w:color="auto" w:fill="auto"/>
          <w:lang w:val="en-US" w:eastAsia="zh-CN"/>
        </w:rPr>
        <w:t>区</w:t>
      </w:r>
      <w:r>
        <w:rPr>
          <w:rFonts w:hint="eastAsia" w:ascii="Times New Roman" w:hAnsi="Times New Roman" w:cs="Times New Roman"/>
          <w:spacing w:val="0"/>
          <w:sz w:val="32"/>
          <w:szCs w:val="32"/>
          <w:highlight w:val="none"/>
          <w:shd w:val="clear" w:color="auto" w:fill="auto"/>
          <w:lang w:eastAsia="zh-CN"/>
        </w:rPr>
        <w:t>政府批准后，可单独出具规划条件，也可与相邻地块一并出具规划条件，并按协议方式办理供地手续</w:t>
      </w:r>
      <w:r>
        <w:rPr>
          <w:rFonts w:hint="eastAsia" w:ascii="Times New Roman" w:hAnsi="Times New Roman" w:cs="Times New Roman"/>
          <w:spacing w:val="0"/>
          <w:sz w:val="32"/>
          <w:szCs w:val="32"/>
          <w:highlight w:val="none"/>
          <w:shd w:val="clear" w:color="auto" w:fill="auto"/>
          <w:lang w:val="en-US" w:eastAsia="zh-CN"/>
        </w:rPr>
        <w:t>。</w:t>
      </w:r>
    </w:p>
    <w:p w14:paraId="6661B596">
      <w:pPr>
        <w:pageBreakBefore w:val="0"/>
        <w:widowControl w:val="0"/>
        <w:kinsoku/>
        <w:wordWrap/>
        <w:overflowPunct/>
        <w:topLinePunct w:val="0"/>
        <w:autoSpaceDE/>
        <w:autoSpaceDN/>
        <w:bidi w:val="0"/>
        <w:adjustRightInd/>
        <w:snapToGrid/>
        <w:spacing w:beforeLines="0" w:afterLines="0" w:line="570" w:lineRule="exact"/>
        <w:ind w:left="0" w:leftChars="0" w:right="0" w:rightChars="0" w:firstLine="640" w:firstLineChars="200"/>
        <w:textAlignment w:val="auto"/>
        <w:rPr>
          <w:rFonts w:hint="eastAsia" w:ascii="Times New Roman" w:hAnsi="Times New Roman" w:cs="Times New Roman"/>
          <w:spacing w:val="0"/>
          <w:sz w:val="32"/>
          <w:szCs w:val="32"/>
          <w:highlight w:val="none"/>
          <w:shd w:val="clear" w:color="auto" w:fill="auto"/>
          <w:lang w:val="en-US" w:eastAsia="zh-CN"/>
        </w:rPr>
      </w:pPr>
      <w:r>
        <w:rPr>
          <w:rFonts w:hint="default" w:ascii="Times New Roman" w:hAnsi="Times New Roman" w:eastAsia="楷体_GB2312" w:cs="Times New Roman"/>
          <w:b w:val="0"/>
          <w:bCs w:val="0"/>
          <w:color w:val="000000"/>
          <w:spacing w:val="0"/>
          <w:sz w:val="32"/>
          <w:szCs w:val="32"/>
          <w:highlight w:val="none"/>
          <w:shd w:val="clear" w:color="auto" w:fill="auto"/>
        </w:rPr>
        <w:t>（五）</w:t>
      </w:r>
      <w:r>
        <w:rPr>
          <w:rFonts w:hint="eastAsia" w:ascii="Times New Roman" w:hAnsi="Times New Roman" w:eastAsia="楷体_GB2312" w:cs="Times New Roman"/>
          <w:b w:val="0"/>
          <w:color w:val="000000"/>
          <w:spacing w:val="0"/>
          <w:sz w:val="32"/>
          <w:szCs w:val="32"/>
          <w:highlight w:val="none"/>
          <w:shd w:val="clear" w:color="auto" w:fill="auto"/>
          <w:lang w:eastAsia="zh-CN"/>
        </w:rPr>
        <w:t>支持续期开发，</w:t>
      </w:r>
      <w:r>
        <w:rPr>
          <w:rFonts w:hint="eastAsia" w:ascii="Times New Roman" w:hAnsi="Times New Roman" w:eastAsia="楷体_GB2312" w:cs="Times New Roman"/>
          <w:b w:val="0"/>
          <w:color w:val="000000"/>
          <w:spacing w:val="0"/>
          <w:sz w:val="32"/>
          <w:szCs w:val="32"/>
          <w:highlight w:val="none"/>
          <w:shd w:val="clear" w:color="auto" w:fill="auto"/>
          <w:lang w:val="en-US" w:eastAsia="zh-CN"/>
        </w:rPr>
        <w:t>鼓励“飞地”入园</w:t>
      </w:r>
      <w:r>
        <w:rPr>
          <w:rFonts w:hint="eastAsia" w:ascii="Times New Roman" w:hAnsi="Times New Roman" w:eastAsia="楷体_GB2312" w:cs="Times New Roman"/>
          <w:b w:val="0"/>
          <w:color w:val="000000"/>
          <w:spacing w:val="0"/>
          <w:sz w:val="32"/>
          <w:szCs w:val="32"/>
          <w:highlight w:val="none"/>
          <w:shd w:val="clear" w:color="auto" w:fill="auto"/>
          <w:lang w:eastAsia="zh-CN"/>
        </w:rPr>
        <w:t>。</w:t>
      </w:r>
      <w:r>
        <w:rPr>
          <w:rFonts w:hint="eastAsia" w:ascii="Times New Roman" w:hAnsi="Times New Roman" w:cs="Times New Roman"/>
          <w:spacing w:val="0"/>
          <w:sz w:val="32"/>
          <w:szCs w:val="32"/>
          <w:highlight w:val="none"/>
          <w:shd w:val="clear" w:color="auto" w:fill="auto"/>
          <w:lang w:eastAsia="zh-CN"/>
        </w:rPr>
        <w:t>工业用地使用权期届满的，在符合规划、产业导向的前提下，经批准实施再开发的，可按最长不超过</w:t>
      </w:r>
      <w:r>
        <w:rPr>
          <w:rFonts w:hint="eastAsia" w:ascii="Times New Roman" w:hAnsi="Times New Roman" w:cs="Times New Roman"/>
          <w:spacing w:val="0"/>
          <w:sz w:val="32"/>
          <w:szCs w:val="32"/>
          <w:highlight w:val="none"/>
          <w:shd w:val="clear" w:color="auto" w:fill="auto"/>
          <w:lang w:val="en-US" w:eastAsia="zh-CN"/>
        </w:rPr>
        <w:t>30年续期，以协议方式办理有偿使用手续，并签订出让合同补充协议及履约监管协议。工业区块外的零星工业用地原则上不得续期。鼓励工业区块外工业用地通过置换方式向区块内集中集聚。采取“以地换地”方式的，以协议方式办理置换地块出让手续，并签订出让合同及履约监管协议，原地块建设用地使用权由政府收回，可采取先建设后腾退的模式，确保生产平稳过渡；采取“以地换房”方式的，可以协议方式办理置换手续。鼓励将农村地区低效用地复垦后产生的指标“飞地”入园，实现要素互换共享、收益互利共赢。</w:t>
      </w:r>
    </w:p>
    <w:p w14:paraId="192A704B">
      <w:pPr>
        <w:pageBreakBefore w:val="0"/>
        <w:widowControl w:val="0"/>
        <w:kinsoku/>
        <w:wordWrap/>
        <w:overflowPunct/>
        <w:topLinePunct w:val="0"/>
        <w:autoSpaceDE/>
        <w:autoSpaceDN/>
        <w:bidi w:val="0"/>
        <w:adjustRightInd/>
        <w:snapToGrid/>
        <w:spacing w:beforeLines="0" w:afterLines="0" w:line="570" w:lineRule="exact"/>
        <w:ind w:left="0" w:leftChars="0" w:right="0" w:rightChars="0" w:firstLine="640" w:firstLineChars="200"/>
        <w:textAlignment w:val="auto"/>
        <w:rPr>
          <w:rFonts w:hint="eastAsia" w:ascii="Times New Roman" w:hAnsi="Times New Roman" w:cs="Times New Roman"/>
          <w:spacing w:val="0"/>
          <w:sz w:val="32"/>
          <w:szCs w:val="32"/>
          <w:highlight w:val="none"/>
          <w:shd w:val="clear" w:color="auto" w:fill="auto"/>
          <w:lang w:eastAsia="zh-CN"/>
        </w:rPr>
      </w:pPr>
      <w:r>
        <w:rPr>
          <w:rFonts w:hint="eastAsia" w:ascii="Times New Roman" w:hAnsi="Times New Roman" w:eastAsia="楷体_GB2312" w:cs="Times New Roman"/>
          <w:b w:val="0"/>
          <w:color w:val="000000"/>
          <w:spacing w:val="0"/>
          <w:sz w:val="32"/>
          <w:szCs w:val="32"/>
          <w:highlight w:val="none"/>
          <w:shd w:val="clear" w:color="auto" w:fill="auto"/>
          <w:lang w:eastAsia="zh-CN"/>
        </w:rPr>
        <w:t>（</w:t>
      </w:r>
      <w:r>
        <w:rPr>
          <w:rFonts w:hint="eastAsia" w:ascii="Times New Roman" w:hAnsi="Times New Roman" w:eastAsia="楷体_GB2312" w:cs="Times New Roman"/>
          <w:b w:val="0"/>
          <w:color w:val="000000"/>
          <w:spacing w:val="0"/>
          <w:sz w:val="32"/>
          <w:szCs w:val="32"/>
          <w:highlight w:val="none"/>
          <w:shd w:val="clear" w:color="auto" w:fill="auto"/>
          <w:lang w:val="en-US" w:eastAsia="zh-CN"/>
        </w:rPr>
        <w:t>六</w:t>
      </w:r>
      <w:r>
        <w:rPr>
          <w:rFonts w:hint="eastAsia" w:ascii="Times New Roman" w:hAnsi="Times New Roman" w:eastAsia="楷体_GB2312" w:cs="Times New Roman"/>
          <w:b w:val="0"/>
          <w:color w:val="000000"/>
          <w:spacing w:val="0"/>
          <w:sz w:val="32"/>
          <w:szCs w:val="32"/>
          <w:highlight w:val="none"/>
          <w:shd w:val="clear" w:color="auto" w:fill="auto"/>
          <w:lang w:eastAsia="zh-CN"/>
        </w:rPr>
        <w:t>）允许分割转让，鼓励存量置换</w:t>
      </w:r>
      <w:r>
        <w:rPr>
          <w:rFonts w:hint="default" w:ascii="Times New Roman" w:hAnsi="Times New Roman" w:eastAsia="楷体_GB2312" w:cs="Times New Roman"/>
          <w:b w:val="0"/>
          <w:color w:val="000000"/>
          <w:spacing w:val="0"/>
          <w:sz w:val="32"/>
          <w:szCs w:val="32"/>
          <w:highlight w:val="none"/>
          <w:shd w:val="clear" w:color="auto" w:fill="auto"/>
        </w:rPr>
        <w:t>。</w:t>
      </w:r>
      <w:r>
        <w:rPr>
          <w:rFonts w:hint="eastAsia" w:ascii="Times New Roman" w:hAnsi="Times New Roman" w:cs="Times New Roman"/>
          <w:spacing w:val="0"/>
          <w:sz w:val="32"/>
          <w:szCs w:val="32"/>
          <w:highlight w:val="none"/>
          <w:shd w:val="clear" w:color="auto" w:fill="auto"/>
          <w:lang w:val="en-US" w:eastAsia="zh-CN"/>
        </w:rPr>
        <w:t>工业用地原则上不得分割转让。</w:t>
      </w:r>
      <w:r>
        <w:rPr>
          <w:rFonts w:hint="eastAsia" w:ascii="Times New Roman" w:hAnsi="Times New Roman" w:cs="Times New Roman"/>
          <w:spacing w:val="0"/>
          <w:sz w:val="32"/>
          <w:szCs w:val="32"/>
          <w:highlight w:val="none"/>
          <w:shd w:val="clear" w:color="auto" w:fill="auto"/>
          <w:lang w:eastAsia="zh-CN"/>
        </w:rPr>
        <w:t>对“标准</w:t>
      </w:r>
      <w:r>
        <w:rPr>
          <w:rFonts w:hint="eastAsia" w:ascii="Times New Roman" w:hAnsi="Times New Roman" w:cs="Times New Roman"/>
          <w:spacing w:val="0"/>
          <w:sz w:val="32"/>
          <w:szCs w:val="32"/>
          <w:highlight w:val="none"/>
          <w:shd w:val="clear" w:color="auto" w:fill="auto"/>
          <w:lang w:val="en-US" w:eastAsia="zh-CN"/>
        </w:rPr>
        <w:t>地</w:t>
      </w:r>
      <w:r>
        <w:rPr>
          <w:rFonts w:hint="eastAsia" w:ascii="Times New Roman" w:hAnsi="Times New Roman" w:cs="Times New Roman"/>
          <w:spacing w:val="0"/>
          <w:sz w:val="32"/>
          <w:szCs w:val="32"/>
          <w:highlight w:val="none"/>
          <w:shd w:val="clear" w:color="auto" w:fill="auto"/>
          <w:lang w:eastAsia="zh-CN"/>
        </w:rPr>
        <w:t>”政策实施以前，工业区块内的存量低效工业用地，在符合国土空间规划、具备独立分宗条件</w:t>
      </w:r>
      <w:r>
        <w:rPr>
          <w:rFonts w:hint="eastAsia" w:ascii="Times New Roman" w:hAnsi="Times New Roman" w:cs="Times New Roman"/>
          <w:spacing w:val="0"/>
          <w:sz w:val="32"/>
          <w:szCs w:val="32"/>
          <w:highlight w:val="none"/>
          <w:shd w:val="clear" w:color="auto" w:fill="auto"/>
          <w:lang w:val="en-US" w:eastAsia="zh-CN"/>
        </w:rPr>
        <w:t>和</w:t>
      </w:r>
      <w:r>
        <w:rPr>
          <w:rFonts w:hint="eastAsia" w:ascii="Times New Roman" w:hAnsi="Times New Roman" w:cs="Times New Roman"/>
          <w:spacing w:val="0"/>
          <w:sz w:val="32"/>
          <w:szCs w:val="32"/>
          <w:highlight w:val="none"/>
          <w:shd w:val="clear" w:color="auto" w:fill="auto"/>
          <w:lang w:eastAsia="zh-CN"/>
        </w:rPr>
        <w:t>独立使用功能，且确保不改变土地用途、符合节约集约利用原则的前提下，经</w:t>
      </w:r>
      <w:r>
        <w:rPr>
          <w:rFonts w:hint="eastAsia" w:ascii="Times New Roman" w:hAnsi="Times New Roman" w:cs="Times New Roman"/>
          <w:spacing w:val="0"/>
          <w:sz w:val="32"/>
          <w:szCs w:val="32"/>
          <w:highlight w:val="none"/>
          <w:shd w:val="clear" w:color="auto" w:fill="auto"/>
          <w:lang w:val="en-US" w:eastAsia="zh-CN"/>
        </w:rPr>
        <w:t>区</w:t>
      </w:r>
      <w:r>
        <w:rPr>
          <w:rFonts w:hint="eastAsia" w:ascii="Times New Roman" w:hAnsi="Times New Roman" w:cs="Times New Roman"/>
          <w:spacing w:val="0"/>
          <w:sz w:val="32"/>
          <w:szCs w:val="32"/>
          <w:highlight w:val="none"/>
          <w:shd w:val="clear" w:color="auto" w:fill="auto"/>
          <w:lang w:eastAsia="zh-CN"/>
        </w:rPr>
        <w:t>政府批准，可分割转让实施</w:t>
      </w:r>
      <w:r>
        <w:rPr>
          <w:rFonts w:hint="eastAsia" w:ascii="Times New Roman" w:hAnsi="Times New Roman" w:cs="Times New Roman"/>
          <w:spacing w:val="0"/>
          <w:sz w:val="32"/>
          <w:szCs w:val="32"/>
          <w:highlight w:val="none"/>
          <w:shd w:val="clear" w:color="auto" w:fill="auto"/>
          <w:lang w:val="en-US" w:eastAsia="zh-CN"/>
        </w:rPr>
        <w:t>再</w:t>
      </w:r>
      <w:r>
        <w:rPr>
          <w:rFonts w:hint="eastAsia" w:ascii="Times New Roman" w:hAnsi="Times New Roman" w:cs="Times New Roman"/>
          <w:spacing w:val="0"/>
          <w:sz w:val="32"/>
          <w:szCs w:val="32"/>
          <w:highlight w:val="none"/>
          <w:shd w:val="clear" w:color="auto" w:fill="auto"/>
          <w:lang w:eastAsia="zh-CN"/>
        </w:rPr>
        <w:t>开发，并签订出让合同补充协议及履约监管协议，重新约定开竣工期限。因实施片区统筹再开发需要，存量集体建设用地之间、国有建设用地之间以及集体建设用地与国有建设用地之间，可按照“面积相近或价值相当、双方自愿、凭证置换”原则，由建设用地使用权人签订置换协议，经区政府批准后，规划资源部门办理登记手续；其中涉及集体建设用地的，需经所在地集体经济组织同意、乡镇政府（街道办事处）审核。</w:t>
      </w:r>
    </w:p>
    <w:p w14:paraId="3D10B643">
      <w:pPr>
        <w:pageBreakBefore w:val="0"/>
        <w:widowControl w:val="0"/>
        <w:kinsoku/>
        <w:wordWrap/>
        <w:overflowPunct/>
        <w:topLinePunct w:val="0"/>
        <w:autoSpaceDE/>
        <w:autoSpaceDN/>
        <w:bidi w:val="0"/>
        <w:adjustRightInd/>
        <w:snapToGrid/>
        <w:spacing w:beforeLines="0" w:afterLines="0" w:line="570" w:lineRule="exact"/>
        <w:ind w:left="0" w:leftChars="0" w:right="0" w:rightChars="0" w:firstLine="640" w:firstLineChars="200"/>
        <w:textAlignment w:val="auto"/>
        <w:rPr>
          <w:rFonts w:hint="default" w:ascii="Times New Roman" w:hAnsi="Times New Roman" w:eastAsia="仿宋_GB2312" w:cs="Times New Roman"/>
          <w:spacing w:val="0"/>
          <w:sz w:val="32"/>
          <w:szCs w:val="32"/>
          <w:highlight w:val="none"/>
          <w:shd w:val="clear" w:color="auto" w:fill="auto"/>
        </w:rPr>
      </w:pPr>
      <w:r>
        <w:rPr>
          <w:rFonts w:hint="default" w:ascii="Times New Roman" w:hAnsi="Times New Roman" w:eastAsia="楷体_GB2312" w:cs="Times New Roman"/>
          <w:b w:val="0"/>
          <w:bCs w:val="0"/>
          <w:color w:val="000000"/>
          <w:spacing w:val="0"/>
          <w:sz w:val="32"/>
          <w:szCs w:val="32"/>
          <w:highlight w:val="none"/>
          <w:shd w:val="clear" w:color="auto" w:fill="auto"/>
        </w:rPr>
        <w:t>（</w:t>
      </w:r>
      <w:r>
        <w:rPr>
          <w:rFonts w:hint="eastAsia" w:ascii="Times New Roman" w:hAnsi="Times New Roman" w:eastAsia="楷体_GB2312" w:cs="Times New Roman"/>
          <w:b w:val="0"/>
          <w:bCs w:val="0"/>
          <w:color w:val="000000"/>
          <w:spacing w:val="0"/>
          <w:sz w:val="32"/>
          <w:szCs w:val="32"/>
          <w:highlight w:val="none"/>
          <w:shd w:val="clear" w:color="auto" w:fill="auto"/>
          <w:lang w:val="en-US" w:eastAsia="zh-CN"/>
        </w:rPr>
        <w:t>七</w:t>
      </w:r>
      <w:r>
        <w:rPr>
          <w:rFonts w:hint="default" w:ascii="Times New Roman" w:hAnsi="Times New Roman" w:eastAsia="楷体_GB2312" w:cs="Times New Roman"/>
          <w:b w:val="0"/>
          <w:bCs w:val="0"/>
          <w:color w:val="000000"/>
          <w:spacing w:val="0"/>
          <w:sz w:val="32"/>
          <w:szCs w:val="32"/>
          <w:highlight w:val="none"/>
          <w:shd w:val="clear" w:color="auto" w:fill="auto"/>
        </w:rPr>
        <w:t>）</w:t>
      </w:r>
      <w:r>
        <w:rPr>
          <w:rFonts w:hint="default" w:ascii="Times New Roman" w:hAnsi="Times New Roman" w:eastAsia="楷体_GB2312" w:cs="Times New Roman"/>
          <w:b w:val="0"/>
          <w:color w:val="000000"/>
          <w:spacing w:val="0"/>
          <w:sz w:val="32"/>
          <w:szCs w:val="32"/>
          <w:highlight w:val="none"/>
          <w:shd w:val="clear" w:color="auto" w:fill="auto"/>
        </w:rPr>
        <w:t>完善功能配套</w:t>
      </w:r>
      <w:r>
        <w:rPr>
          <w:rFonts w:hint="eastAsia" w:ascii="Times New Roman" w:hAnsi="Times New Roman" w:eastAsia="楷体_GB2312" w:cs="Times New Roman"/>
          <w:b w:val="0"/>
          <w:color w:val="000000"/>
          <w:spacing w:val="0"/>
          <w:sz w:val="32"/>
          <w:szCs w:val="32"/>
          <w:highlight w:val="none"/>
          <w:shd w:val="clear" w:color="auto" w:fill="auto"/>
          <w:lang w:eastAsia="zh-CN"/>
        </w:rPr>
        <w:t>，</w:t>
      </w:r>
      <w:r>
        <w:rPr>
          <w:rFonts w:hint="eastAsia" w:ascii="Times New Roman" w:hAnsi="Times New Roman" w:eastAsia="楷体_GB2312" w:cs="Times New Roman"/>
          <w:b w:val="0"/>
          <w:color w:val="000000"/>
          <w:spacing w:val="0"/>
          <w:sz w:val="32"/>
          <w:szCs w:val="32"/>
          <w:highlight w:val="none"/>
          <w:shd w:val="clear" w:color="auto" w:fill="auto"/>
          <w:lang w:val="en-US" w:eastAsia="zh-CN"/>
        </w:rPr>
        <w:t>推动产城融合</w:t>
      </w:r>
      <w:r>
        <w:rPr>
          <w:rFonts w:hint="default" w:ascii="Times New Roman" w:hAnsi="Times New Roman" w:eastAsia="楷体_GB2312" w:cs="Times New Roman"/>
          <w:b w:val="0"/>
          <w:color w:val="000000"/>
          <w:spacing w:val="0"/>
          <w:sz w:val="32"/>
          <w:szCs w:val="32"/>
          <w:highlight w:val="none"/>
          <w:shd w:val="clear" w:color="auto" w:fill="auto"/>
        </w:rPr>
        <w:t>。</w:t>
      </w:r>
      <w:r>
        <w:rPr>
          <w:rFonts w:hint="default" w:ascii="Times New Roman" w:hAnsi="Times New Roman" w:eastAsia="仿宋_GB2312" w:cs="Times New Roman"/>
          <w:spacing w:val="0"/>
          <w:sz w:val="32"/>
          <w:szCs w:val="32"/>
          <w:highlight w:val="none"/>
          <w:shd w:val="clear" w:color="auto" w:fill="auto"/>
        </w:rPr>
        <w:t>鼓励地下空间统一建设开发，实施区域整体形象提升，增加建筑红线退让，提升道路建设标准，实施通信网络优化、排污设施改造、能源供应保障等基础设施改造项目，提升区域产业承载能力。</w:t>
      </w:r>
      <w:r>
        <w:rPr>
          <w:rFonts w:hint="default" w:ascii="Times New Roman" w:hAnsi="Times New Roman" w:eastAsia="仿宋_GB2312" w:cs="Times New Roman"/>
          <w:spacing w:val="0"/>
          <w:sz w:val="32"/>
          <w:szCs w:val="32"/>
          <w:highlight w:val="none"/>
          <w:shd w:val="clear" w:color="auto" w:fill="auto"/>
          <w:lang w:eastAsia="zh-CN"/>
        </w:rPr>
        <w:t>合理提高</w:t>
      </w:r>
      <w:r>
        <w:rPr>
          <w:rFonts w:hint="default" w:ascii="Times New Roman" w:hAnsi="Times New Roman" w:eastAsia="仿宋_GB2312" w:cs="Times New Roman"/>
          <w:spacing w:val="0"/>
          <w:sz w:val="32"/>
          <w:szCs w:val="32"/>
          <w:highlight w:val="none"/>
          <w:shd w:val="clear" w:color="auto" w:fill="auto"/>
        </w:rPr>
        <w:t>工业项目中的生活配套设施建设用地占比，</w:t>
      </w:r>
      <w:r>
        <w:rPr>
          <w:rFonts w:hint="default" w:ascii="Times New Roman" w:hAnsi="Times New Roman" w:eastAsia="仿宋_GB2312" w:cs="Times New Roman"/>
          <w:spacing w:val="0"/>
          <w:sz w:val="32"/>
          <w:szCs w:val="32"/>
          <w:highlight w:val="none"/>
          <w:shd w:val="clear" w:color="auto" w:fill="auto"/>
          <w:lang w:eastAsia="zh-CN"/>
        </w:rPr>
        <w:t>保障</w:t>
      </w:r>
      <w:r>
        <w:rPr>
          <w:rFonts w:hint="default" w:ascii="Times New Roman" w:hAnsi="Times New Roman" w:eastAsia="仿宋_GB2312" w:cs="Times New Roman"/>
          <w:spacing w:val="0"/>
          <w:sz w:val="32"/>
          <w:szCs w:val="32"/>
          <w:highlight w:val="none"/>
          <w:shd w:val="clear" w:color="auto" w:fill="auto"/>
        </w:rPr>
        <w:t>宿舍型租赁住房供给，更好满足职工居住需求，打造品质园区。</w:t>
      </w:r>
    </w:p>
    <w:p w14:paraId="52DBCBBE">
      <w:pPr>
        <w:pageBreakBefore w:val="0"/>
        <w:widowControl w:val="0"/>
        <w:kinsoku/>
        <w:wordWrap/>
        <w:overflowPunct/>
        <w:topLinePunct w:val="0"/>
        <w:autoSpaceDE/>
        <w:autoSpaceDN/>
        <w:bidi w:val="0"/>
        <w:adjustRightInd/>
        <w:snapToGrid/>
        <w:spacing w:beforeLines="0" w:afterLines="0" w:line="570" w:lineRule="exact"/>
        <w:ind w:left="0" w:leftChars="0" w:right="0" w:rightChars="0" w:firstLine="640" w:firstLineChars="200"/>
        <w:textAlignment w:val="auto"/>
        <w:rPr>
          <w:rFonts w:hint="default" w:ascii="Times New Roman" w:hAnsi="Times New Roman" w:eastAsia="仿宋_GB2312" w:cs="Times New Roman"/>
          <w:spacing w:val="0"/>
          <w:sz w:val="32"/>
          <w:szCs w:val="32"/>
          <w:highlight w:val="none"/>
          <w:shd w:val="clear" w:color="auto" w:fill="auto"/>
        </w:rPr>
      </w:pPr>
      <w:r>
        <w:rPr>
          <w:rFonts w:hint="default" w:ascii="Times New Roman" w:hAnsi="Times New Roman" w:eastAsia="楷体_GB2312" w:cs="Times New Roman"/>
          <w:b w:val="0"/>
          <w:bCs w:val="0"/>
          <w:color w:val="000000"/>
          <w:spacing w:val="0"/>
          <w:sz w:val="32"/>
          <w:szCs w:val="32"/>
          <w:highlight w:val="none"/>
          <w:shd w:val="clear" w:color="auto" w:fill="auto"/>
        </w:rPr>
        <w:t>（</w:t>
      </w:r>
      <w:r>
        <w:rPr>
          <w:rFonts w:hint="eastAsia" w:ascii="Times New Roman" w:hAnsi="Times New Roman" w:eastAsia="楷体_GB2312" w:cs="Times New Roman"/>
          <w:b w:val="0"/>
          <w:bCs w:val="0"/>
          <w:color w:val="000000"/>
          <w:spacing w:val="0"/>
          <w:sz w:val="32"/>
          <w:szCs w:val="32"/>
          <w:highlight w:val="none"/>
          <w:shd w:val="clear" w:color="auto" w:fill="auto"/>
          <w:lang w:val="en-US" w:eastAsia="zh-CN"/>
        </w:rPr>
        <w:t>八</w:t>
      </w:r>
      <w:r>
        <w:rPr>
          <w:rFonts w:hint="default" w:ascii="Times New Roman" w:hAnsi="Times New Roman" w:eastAsia="楷体_GB2312" w:cs="Times New Roman"/>
          <w:b w:val="0"/>
          <w:bCs w:val="0"/>
          <w:color w:val="000000"/>
          <w:spacing w:val="0"/>
          <w:sz w:val="32"/>
          <w:szCs w:val="32"/>
          <w:highlight w:val="none"/>
          <w:shd w:val="clear" w:color="auto" w:fill="auto"/>
        </w:rPr>
        <w:t>）</w:t>
      </w:r>
      <w:r>
        <w:rPr>
          <w:rFonts w:hint="default" w:ascii="Times New Roman" w:hAnsi="Times New Roman" w:eastAsia="楷体_GB2312" w:cs="Times New Roman"/>
          <w:b w:val="0"/>
          <w:color w:val="000000"/>
          <w:spacing w:val="0"/>
          <w:sz w:val="32"/>
          <w:szCs w:val="32"/>
          <w:highlight w:val="none"/>
          <w:shd w:val="clear" w:color="auto" w:fill="auto"/>
        </w:rPr>
        <w:t>推进共建运营</w:t>
      </w:r>
      <w:r>
        <w:rPr>
          <w:rFonts w:hint="eastAsia" w:ascii="Times New Roman" w:hAnsi="Times New Roman" w:eastAsia="楷体_GB2312" w:cs="Times New Roman"/>
          <w:b w:val="0"/>
          <w:color w:val="000000"/>
          <w:spacing w:val="0"/>
          <w:sz w:val="32"/>
          <w:szCs w:val="32"/>
          <w:highlight w:val="none"/>
          <w:shd w:val="clear" w:color="auto" w:fill="auto"/>
          <w:lang w:eastAsia="zh-CN"/>
        </w:rPr>
        <w:t>，</w:t>
      </w:r>
      <w:r>
        <w:rPr>
          <w:rFonts w:hint="eastAsia" w:ascii="Times New Roman" w:hAnsi="Times New Roman" w:eastAsia="楷体_GB2312" w:cs="Times New Roman"/>
          <w:b w:val="0"/>
          <w:color w:val="000000"/>
          <w:spacing w:val="0"/>
          <w:sz w:val="32"/>
          <w:szCs w:val="32"/>
          <w:highlight w:val="none"/>
          <w:shd w:val="clear" w:color="auto" w:fill="auto"/>
          <w:lang w:val="en-US" w:eastAsia="zh-CN"/>
        </w:rPr>
        <w:t>打造优质园区</w:t>
      </w:r>
      <w:r>
        <w:rPr>
          <w:rFonts w:hint="default" w:ascii="Times New Roman" w:hAnsi="Times New Roman" w:eastAsia="楷体_GB2312" w:cs="Times New Roman"/>
          <w:b w:val="0"/>
          <w:color w:val="000000"/>
          <w:spacing w:val="0"/>
          <w:sz w:val="32"/>
          <w:szCs w:val="32"/>
          <w:highlight w:val="none"/>
          <w:shd w:val="clear" w:color="auto" w:fill="auto"/>
        </w:rPr>
        <w:t>。</w:t>
      </w:r>
      <w:r>
        <w:rPr>
          <w:rFonts w:hint="default" w:ascii="Times New Roman" w:hAnsi="Times New Roman" w:eastAsia="仿宋_GB2312" w:cs="Times New Roman"/>
          <w:spacing w:val="0"/>
          <w:sz w:val="32"/>
          <w:szCs w:val="32"/>
          <w:highlight w:val="none"/>
          <w:shd w:val="clear" w:color="auto" w:fill="auto"/>
        </w:rPr>
        <w:t>发挥市场主体和政策撬动作用，探索“零运营费用、争奖励资金、享绩效分成”的共建运营模式，鼓励优质运营商整租产业空间，打造总部楼宇、小微园区、孵化器、众创空间等载体，约定主导产业、运营目标、年度任务及绩效考核，“包产到园、多劳多得”，提升运营积极性、引导产业集聚、优化园区服务，争取面上奖励政策，并视年度运营绩效考核情况兑现相应奖励。</w:t>
      </w:r>
    </w:p>
    <w:p w14:paraId="5E6A46EE">
      <w:pPr>
        <w:pageBreakBefore w:val="0"/>
        <w:widowControl w:val="0"/>
        <w:kinsoku/>
        <w:wordWrap/>
        <w:overflowPunct/>
        <w:topLinePunct w:val="0"/>
        <w:autoSpaceDE/>
        <w:autoSpaceDN/>
        <w:bidi w:val="0"/>
        <w:adjustRightInd/>
        <w:snapToGrid/>
        <w:spacing w:beforeLines="0" w:afterLines="0" w:line="570" w:lineRule="exact"/>
        <w:ind w:left="0" w:leftChars="0" w:right="0" w:rightChars="0" w:firstLine="640" w:firstLineChars="200"/>
        <w:textAlignment w:val="auto"/>
        <w:rPr>
          <w:rStyle w:val="23"/>
          <w:rFonts w:hint="default" w:ascii="Times New Roman" w:hAnsi="Times New Roman" w:eastAsia="黑体" w:cs="Times New Roman"/>
          <w:color w:val="000000"/>
          <w:spacing w:val="0"/>
          <w:sz w:val="32"/>
          <w:szCs w:val="32"/>
          <w:highlight w:val="none"/>
          <w:shd w:val="clear" w:color="auto" w:fill="auto"/>
        </w:rPr>
      </w:pPr>
      <w:r>
        <w:rPr>
          <w:rFonts w:hint="default" w:ascii="Times New Roman" w:hAnsi="Times New Roman" w:eastAsia="黑体" w:cs="Times New Roman"/>
          <w:color w:val="000000"/>
          <w:spacing w:val="0"/>
          <w:sz w:val="32"/>
          <w:szCs w:val="32"/>
          <w:highlight w:val="none"/>
          <w:shd w:val="clear" w:color="auto" w:fill="auto"/>
        </w:rPr>
        <w:t>七、保障措施</w:t>
      </w:r>
    </w:p>
    <w:p w14:paraId="5D13C1D5">
      <w:pPr>
        <w:pageBreakBefore w:val="0"/>
        <w:widowControl w:val="0"/>
        <w:kinsoku/>
        <w:wordWrap/>
        <w:overflowPunct/>
        <w:topLinePunct w:val="0"/>
        <w:autoSpaceDE/>
        <w:autoSpaceDN/>
        <w:bidi w:val="0"/>
        <w:adjustRightInd/>
        <w:snapToGrid/>
        <w:spacing w:beforeLines="0" w:afterLines="0" w:line="570" w:lineRule="exact"/>
        <w:ind w:left="0" w:leftChars="0" w:right="0" w:rightChars="0" w:firstLine="640" w:firstLineChars="200"/>
        <w:textAlignment w:val="auto"/>
        <w:rPr>
          <w:rFonts w:hint="default" w:ascii="Times New Roman" w:hAnsi="Times New Roman" w:eastAsia="仿宋_GB2312" w:cs="Times New Roman"/>
          <w:spacing w:val="0"/>
          <w:sz w:val="32"/>
          <w:szCs w:val="32"/>
          <w:highlight w:val="none"/>
          <w:shd w:val="clear" w:color="auto" w:fill="auto"/>
        </w:rPr>
      </w:pPr>
      <w:r>
        <w:rPr>
          <w:rFonts w:hint="default" w:ascii="Times New Roman" w:hAnsi="Times New Roman" w:eastAsia="楷体_GB2312" w:cs="Times New Roman"/>
          <w:b w:val="0"/>
          <w:bCs w:val="0"/>
          <w:color w:val="000000"/>
          <w:spacing w:val="0"/>
          <w:sz w:val="32"/>
          <w:szCs w:val="32"/>
          <w:highlight w:val="none"/>
          <w:shd w:val="clear" w:color="auto" w:fill="auto"/>
        </w:rPr>
        <w:t>（一）</w:t>
      </w:r>
      <w:r>
        <w:rPr>
          <w:rFonts w:hint="default" w:ascii="Times New Roman" w:hAnsi="Times New Roman" w:eastAsia="楷体_GB2312" w:cs="Times New Roman"/>
          <w:b w:val="0"/>
          <w:color w:val="000000"/>
          <w:spacing w:val="0"/>
          <w:sz w:val="32"/>
          <w:szCs w:val="32"/>
          <w:highlight w:val="none"/>
          <w:shd w:val="clear" w:color="auto" w:fill="auto"/>
        </w:rPr>
        <w:t>加强组织领导。</w:t>
      </w:r>
      <w:r>
        <w:rPr>
          <w:rFonts w:hint="default" w:ascii="Times New Roman" w:hAnsi="Times New Roman" w:eastAsia="仿宋_GB2312" w:cs="Times New Roman"/>
          <w:spacing w:val="0"/>
          <w:sz w:val="32"/>
          <w:szCs w:val="32"/>
          <w:highlight w:val="none"/>
          <w:shd w:val="clear" w:color="auto" w:fill="auto"/>
        </w:rPr>
        <w:t>成立由区委、区政府主要领导任双组长，分管副区长及相关区领导任副组长，各区直部门和平台相关负责人为成员的余杭区工业用地有机更新领导小组，负责统筹、指导全区存量工业用地有机更新工作。领导小组下设办公室，办公室设在区经信局，由分管副区长任办公室主任，制定相关内部工作流程，负责领导小组日常工作。相关平台、镇街成立相应领导小组，落实主体责任，健全工作机制，全面推进工业用地有机更新工作。</w:t>
      </w:r>
    </w:p>
    <w:p w14:paraId="1A26B8BD">
      <w:pPr>
        <w:pageBreakBefore w:val="0"/>
        <w:widowControl w:val="0"/>
        <w:kinsoku/>
        <w:wordWrap/>
        <w:overflowPunct/>
        <w:topLinePunct w:val="0"/>
        <w:autoSpaceDE/>
        <w:autoSpaceDN/>
        <w:bidi w:val="0"/>
        <w:adjustRightInd/>
        <w:snapToGrid/>
        <w:spacing w:beforeLines="0" w:afterLines="0" w:line="570" w:lineRule="exact"/>
        <w:ind w:left="0" w:leftChars="0" w:right="0" w:rightChars="0" w:firstLine="640" w:firstLineChars="200"/>
        <w:textAlignment w:val="auto"/>
        <w:rPr>
          <w:rFonts w:hint="default" w:ascii="Times New Roman" w:hAnsi="Times New Roman" w:eastAsia="仿宋_GB2312" w:cs="Times New Roman"/>
          <w:spacing w:val="0"/>
          <w:sz w:val="32"/>
          <w:szCs w:val="32"/>
          <w:highlight w:val="none"/>
          <w:shd w:val="clear" w:color="auto" w:fill="auto"/>
        </w:rPr>
      </w:pPr>
      <w:r>
        <w:rPr>
          <w:rFonts w:hint="default" w:ascii="Times New Roman" w:hAnsi="Times New Roman" w:eastAsia="楷体_GB2312" w:cs="Times New Roman"/>
          <w:b w:val="0"/>
          <w:bCs w:val="0"/>
          <w:color w:val="000000"/>
          <w:spacing w:val="0"/>
          <w:sz w:val="32"/>
          <w:szCs w:val="32"/>
          <w:highlight w:val="none"/>
          <w:shd w:val="clear" w:color="auto" w:fill="auto"/>
        </w:rPr>
        <w:t>（二）加强</w:t>
      </w:r>
      <w:r>
        <w:rPr>
          <w:rFonts w:hint="eastAsia" w:ascii="Times New Roman" w:hAnsi="Times New Roman" w:eastAsia="楷体_GB2312" w:cs="Times New Roman"/>
          <w:b w:val="0"/>
          <w:bCs w:val="0"/>
          <w:color w:val="000000"/>
          <w:spacing w:val="0"/>
          <w:sz w:val="32"/>
          <w:szCs w:val="32"/>
          <w:highlight w:val="none"/>
          <w:shd w:val="clear" w:color="auto" w:fill="auto"/>
          <w:lang w:eastAsia="zh-CN"/>
        </w:rPr>
        <w:t>方案</w:t>
      </w:r>
      <w:r>
        <w:rPr>
          <w:rFonts w:hint="default" w:ascii="Times New Roman" w:hAnsi="Times New Roman" w:eastAsia="楷体_GB2312" w:cs="Times New Roman"/>
          <w:b w:val="0"/>
          <w:bCs w:val="0"/>
          <w:color w:val="000000"/>
          <w:spacing w:val="0"/>
          <w:sz w:val="32"/>
          <w:szCs w:val="32"/>
          <w:highlight w:val="none"/>
          <w:shd w:val="clear" w:color="auto" w:fill="auto"/>
        </w:rPr>
        <w:t>引领。</w:t>
      </w:r>
      <w:r>
        <w:rPr>
          <w:rFonts w:hint="default" w:ascii="Times New Roman" w:hAnsi="Times New Roman" w:eastAsia="仿宋_GB2312" w:cs="Times New Roman"/>
          <w:spacing w:val="0"/>
          <w:sz w:val="32"/>
          <w:szCs w:val="32"/>
          <w:highlight w:val="none"/>
          <w:shd w:val="clear" w:color="auto" w:fill="auto"/>
        </w:rPr>
        <w:t>坚持科学合理的功能划定，优化工业用地的空间布局，</w:t>
      </w:r>
      <w:r>
        <w:rPr>
          <w:rFonts w:hint="eastAsia" w:ascii="Times New Roman" w:hAnsi="Times New Roman" w:cs="Times New Roman"/>
          <w:spacing w:val="0"/>
          <w:sz w:val="32"/>
          <w:szCs w:val="32"/>
          <w:highlight w:val="none"/>
          <w:shd w:val="clear" w:color="auto" w:fill="auto"/>
          <w:lang w:eastAsia="zh-CN"/>
        </w:rPr>
        <w:t>根据各工业区块有机更新实施方案</w:t>
      </w:r>
      <w:r>
        <w:rPr>
          <w:rFonts w:hint="default" w:ascii="Times New Roman" w:hAnsi="Times New Roman" w:eastAsia="仿宋_GB2312" w:cs="Times New Roman"/>
          <w:spacing w:val="0"/>
          <w:sz w:val="32"/>
          <w:szCs w:val="32"/>
          <w:highlight w:val="none"/>
          <w:shd w:val="clear" w:color="auto" w:fill="auto"/>
        </w:rPr>
        <w:t>，划定有机更新的重点区域及一般区域，明确有机更新的实施范围、</w:t>
      </w:r>
      <w:r>
        <w:rPr>
          <w:rFonts w:hint="eastAsia" w:ascii="Times New Roman" w:hAnsi="Times New Roman" w:cs="Times New Roman"/>
          <w:spacing w:val="0"/>
          <w:sz w:val="32"/>
          <w:szCs w:val="32"/>
          <w:highlight w:val="none"/>
          <w:shd w:val="clear" w:color="auto" w:fill="auto"/>
          <w:lang w:eastAsia="zh-CN"/>
        </w:rPr>
        <w:t>产业定位、更新模式、开发时序</w:t>
      </w:r>
      <w:r>
        <w:rPr>
          <w:rFonts w:hint="default" w:ascii="Times New Roman" w:hAnsi="Times New Roman" w:eastAsia="仿宋_GB2312" w:cs="Times New Roman"/>
          <w:spacing w:val="0"/>
          <w:sz w:val="32"/>
          <w:szCs w:val="32"/>
          <w:highlight w:val="none"/>
          <w:shd w:val="clear" w:color="auto" w:fill="auto"/>
        </w:rPr>
        <w:t>等，指导推进工业用地有机更新工作。各平台、镇街应明确功能定位</w:t>
      </w:r>
      <w:r>
        <w:rPr>
          <w:rFonts w:hint="eastAsia" w:ascii="Times New Roman" w:hAnsi="Times New Roman" w:cs="Times New Roman"/>
          <w:spacing w:val="0"/>
          <w:sz w:val="32"/>
          <w:szCs w:val="32"/>
          <w:highlight w:val="none"/>
          <w:shd w:val="clear" w:color="auto" w:fill="auto"/>
          <w:lang w:eastAsia="zh-CN"/>
        </w:rPr>
        <w:t>，按照</w:t>
      </w:r>
      <w:r>
        <w:rPr>
          <w:rFonts w:hint="default" w:ascii="Times New Roman" w:hAnsi="Times New Roman" w:eastAsia="仿宋_GB2312" w:cs="Times New Roman"/>
          <w:spacing w:val="0"/>
          <w:sz w:val="32"/>
          <w:szCs w:val="32"/>
          <w:highlight w:val="none"/>
          <w:shd w:val="clear" w:color="auto" w:fill="auto"/>
        </w:rPr>
        <w:t>有机更新</w:t>
      </w:r>
      <w:r>
        <w:rPr>
          <w:rFonts w:hint="eastAsia" w:ascii="Times New Roman" w:hAnsi="Times New Roman" w:cs="Times New Roman"/>
          <w:spacing w:val="0"/>
          <w:sz w:val="32"/>
          <w:szCs w:val="32"/>
          <w:highlight w:val="none"/>
          <w:shd w:val="clear" w:color="auto" w:fill="auto"/>
          <w:lang w:eastAsia="zh-CN"/>
        </w:rPr>
        <w:t>实施</w:t>
      </w:r>
      <w:r>
        <w:rPr>
          <w:rFonts w:hint="default" w:ascii="Times New Roman" w:hAnsi="Times New Roman" w:eastAsia="仿宋_GB2312" w:cs="Times New Roman"/>
          <w:spacing w:val="0"/>
          <w:sz w:val="32"/>
          <w:szCs w:val="32"/>
          <w:highlight w:val="none"/>
          <w:shd w:val="clear" w:color="auto" w:fill="auto"/>
        </w:rPr>
        <w:t>方案</w:t>
      </w:r>
      <w:r>
        <w:rPr>
          <w:rFonts w:hint="eastAsia" w:ascii="Times New Roman" w:hAnsi="Times New Roman" w:cs="Times New Roman"/>
          <w:spacing w:val="0"/>
          <w:sz w:val="32"/>
          <w:szCs w:val="32"/>
          <w:highlight w:val="none"/>
          <w:shd w:val="clear" w:color="auto" w:fill="auto"/>
          <w:lang w:eastAsia="zh-CN"/>
        </w:rPr>
        <w:t>推进有机更新工作</w:t>
      </w:r>
      <w:r>
        <w:rPr>
          <w:rFonts w:hint="default" w:ascii="Times New Roman" w:hAnsi="Times New Roman" w:eastAsia="仿宋_GB2312" w:cs="Times New Roman"/>
          <w:spacing w:val="0"/>
          <w:sz w:val="32"/>
          <w:szCs w:val="32"/>
          <w:highlight w:val="none"/>
          <w:shd w:val="clear" w:color="auto" w:fill="auto"/>
        </w:rPr>
        <w:t>。工业用地有机更新应纳入新一轮国土空间规划详规体系。</w:t>
      </w:r>
    </w:p>
    <w:p w14:paraId="5E4D1825">
      <w:pPr>
        <w:pageBreakBefore w:val="0"/>
        <w:widowControl w:val="0"/>
        <w:kinsoku/>
        <w:wordWrap/>
        <w:overflowPunct/>
        <w:topLinePunct w:val="0"/>
        <w:autoSpaceDE/>
        <w:autoSpaceDN/>
        <w:bidi w:val="0"/>
        <w:adjustRightInd/>
        <w:snapToGrid/>
        <w:spacing w:beforeLines="0" w:afterLines="0" w:line="570" w:lineRule="exact"/>
        <w:ind w:left="0" w:leftChars="0" w:right="0" w:rightChars="0" w:firstLine="640" w:firstLineChars="200"/>
        <w:textAlignment w:val="auto"/>
        <w:rPr>
          <w:rFonts w:hint="default" w:ascii="Times New Roman" w:hAnsi="Times New Roman" w:eastAsia="仿宋_GB2312" w:cs="Times New Roman"/>
          <w:spacing w:val="0"/>
          <w:sz w:val="32"/>
          <w:szCs w:val="32"/>
          <w:highlight w:val="none"/>
          <w:shd w:val="clear" w:color="auto" w:fill="auto"/>
        </w:rPr>
      </w:pPr>
      <w:r>
        <w:rPr>
          <w:rFonts w:hint="default" w:ascii="Times New Roman" w:hAnsi="Times New Roman" w:eastAsia="楷体_GB2312" w:cs="Times New Roman"/>
          <w:b w:val="0"/>
          <w:bCs w:val="0"/>
          <w:color w:val="000000"/>
          <w:spacing w:val="0"/>
          <w:sz w:val="32"/>
          <w:szCs w:val="32"/>
          <w:highlight w:val="none"/>
          <w:shd w:val="clear" w:color="auto" w:fill="auto"/>
        </w:rPr>
        <w:t>（三）加强统筹协调。</w:t>
      </w:r>
      <w:r>
        <w:rPr>
          <w:rFonts w:hint="eastAsia" w:ascii="Times New Roman" w:hAnsi="Times New Roman" w:cs="Times New Roman"/>
          <w:spacing w:val="0"/>
          <w:sz w:val="32"/>
          <w:szCs w:val="32"/>
          <w:highlight w:val="none"/>
          <w:shd w:val="clear" w:color="auto" w:fill="auto"/>
          <w:lang w:val="en-US" w:eastAsia="zh-CN"/>
        </w:rPr>
        <w:t>按规定比例计提</w:t>
      </w:r>
      <w:r>
        <w:rPr>
          <w:rFonts w:hint="default" w:ascii="Times New Roman" w:hAnsi="Times New Roman" w:eastAsia="仿宋_GB2312" w:cs="Times New Roman"/>
          <w:spacing w:val="0"/>
          <w:sz w:val="32"/>
          <w:szCs w:val="32"/>
          <w:highlight w:val="none"/>
          <w:shd w:val="clear" w:color="auto" w:fill="auto"/>
        </w:rPr>
        <w:t>土地出让金收入作为专项经费，</w:t>
      </w:r>
      <w:r>
        <w:rPr>
          <w:rFonts w:hint="eastAsia" w:ascii="Times New Roman" w:hAnsi="Times New Roman" w:cs="Times New Roman"/>
          <w:spacing w:val="0"/>
          <w:sz w:val="32"/>
          <w:szCs w:val="32"/>
          <w:highlight w:val="none"/>
          <w:shd w:val="clear" w:color="auto" w:fill="auto"/>
          <w:lang w:val="en-US" w:eastAsia="zh-CN"/>
        </w:rPr>
        <w:t>重点</w:t>
      </w:r>
      <w:r>
        <w:rPr>
          <w:rFonts w:hint="default" w:ascii="Times New Roman" w:hAnsi="Times New Roman" w:eastAsia="仿宋_GB2312" w:cs="Times New Roman"/>
          <w:spacing w:val="0"/>
          <w:sz w:val="32"/>
          <w:szCs w:val="32"/>
          <w:highlight w:val="none"/>
          <w:shd w:val="clear" w:color="auto" w:fill="auto"/>
        </w:rPr>
        <w:t>用于</w:t>
      </w:r>
      <w:r>
        <w:rPr>
          <w:rFonts w:hint="eastAsia" w:ascii="Times New Roman" w:hAnsi="Times New Roman" w:cs="Times New Roman"/>
          <w:spacing w:val="0"/>
          <w:sz w:val="32"/>
          <w:szCs w:val="32"/>
          <w:highlight w:val="none"/>
          <w:shd w:val="clear" w:color="auto" w:fill="auto"/>
          <w:lang w:val="en-US" w:eastAsia="zh-CN"/>
        </w:rPr>
        <w:t>盘活</w:t>
      </w:r>
      <w:r>
        <w:rPr>
          <w:rFonts w:hint="default" w:ascii="Times New Roman" w:hAnsi="Times New Roman" w:eastAsia="仿宋_GB2312" w:cs="Times New Roman"/>
          <w:spacing w:val="0"/>
          <w:sz w:val="32"/>
          <w:szCs w:val="32"/>
          <w:highlight w:val="none"/>
          <w:shd w:val="clear" w:color="auto" w:fill="auto"/>
        </w:rPr>
        <w:t>工业用地</w:t>
      </w:r>
      <w:r>
        <w:rPr>
          <w:rFonts w:hint="eastAsia" w:ascii="Times New Roman" w:hAnsi="Times New Roman" w:cs="Times New Roman"/>
          <w:spacing w:val="0"/>
          <w:sz w:val="32"/>
          <w:szCs w:val="32"/>
          <w:highlight w:val="none"/>
          <w:shd w:val="clear" w:color="auto" w:fill="auto"/>
          <w:lang w:val="en-US" w:eastAsia="zh-CN"/>
        </w:rPr>
        <w:t>、企业整治提升及</w:t>
      </w:r>
      <w:r>
        <w:rPr>
          <w:rFonts w:hint="default" w:ascii="Times New Roman" w:hAnsi="Times New Roman" w:eastAsia="仿宋_GB2312" w:cs="Times New Roman"/>
          <w:spacing w:val="0"/>
          <w:sz w:val="32"/>
          <w:szCs w:val="32"/>
          <w:highlight w:val="none"/>
          <w:shd w:val="clear" w:color="auto" w:fill="auto"/>
        </w:rPr>
        <w:t>产业园区配套设施建设等。探索研究工业用地有机更新的数字化多跨场景应用。各平台、镇街作为工业用地有机更新申报及实施主体，按年度上报辖区内有机更新计划，结合实际情况确定涉及地块的更新模式并推进落实，履行相关责任义务，对有机更新进行全流程监管，做好企业安置等工作。各相关部门及平台、镇街要落实各司其责的推进机制，确保各项工作责任落到实处，切实推进工业用地有机更新工作。</w:t>
      </w:r>
    </w:p>
    <w:p w14:paraId="29CD7085">
      <w:pPr>
        <w:pageBreakBefore w:val="0"/>
        <w:widowControl w:val="0"/>
        <w:kinsoku/>
        <w:wordWrap/>
        <w:overflowPunct/>
        <w:topLinePunct w:val="0"/>
        <w:autoSpaceDE/>
        <w:autoSpaceDN/>
        <w:bidi w:val="0"/>
        <w:adjustRightInd/>
        <w:snapToGrid/>
        <w:spacing w:beforeLines="0" w:afterLines="0" w:line="570" w:lineRule="exact"/>
        <w:ind w:left="0" w:leftChars="0" w:right="0" w:rightChars="0" w:firstLine="640" w:firstLineChars="200"/>
        <w:textAlignment w:val="auto"/>
        <w:rPr>
          <w:rFonts w:hint="eastAsia" w:ascii="Times New Roman" w:hAnsi="Times New Roman" w:eastAsia="仿宋_GB2312" w:cs="Times New Roman"/>
          <w:spacing w:val="0"/>
          <w:sz w:val="32"/>
          <w:szCs w:val="32"/>
          <w:highlight w:val="none"/>
          <w:shd w:val="clear" w:color="auto" w:fill="auto"/>
          <w:lang w:eastAsia="zh-CN"/>
        </w:rPr>
      </w:pPr>
      <w:r>
        <w:rPr>
          <w:rFonts w:hint="eastAsia" w:ascii="Times New Roman" w:hAnsi="Times New Roman" w:eastAsia="楷体_GB2312" w:cs="Times New Roman"/>
          <w:b w:val="0"/>
          <w:bCs w:val="0"/>
          <w:color w:val="000000"/>
          <w:spacing w:val="0"/>
          <w:sz w:val="32"/>
          <w:szCs w:val="32"/>
          <w:highlight w:val="none"/>
          <w:shd w:val="clear" w:color="auto" w:fill="auto"/>
          <w:lang w:eastAsia="zh-CN"/>
        </w:rPr>
        <w:t>（四）加强改革创新。</w:t>
      </w:r>
      <w:r>
        <w:rPr>
          <w:rFonts w:hint="eastAsia" w:ascii="Times New Roman" w:hAnsi="Times New Roman" w:cs="Times New Roman"/>
          <w:spacing w:val="0"/>
          <w:sz w:val="32"/>
          <w:szCs w:val="32"/>
          <w:highlight w:val="none"/>
          <w:shd w:val="clear" w:color="auto" w:fill="auto"/>
          <w:lang w:eastAsia="zh-CN"/>
        </w:rPr>
        <w:t>坚持解放思想、与时俱行、实事求是，深入推进有机更新试点改革创新。建立健全试点容错免责机制，探索建立重大改革创新容错备案制度，各平台镇街、国有公司要大胆探索、勇于实践、担当作为，创新有机更新方式方法，根据各地实际情况创新有机更新模式，因地制宜做好有机更新提升改造。</w:t>
      </w:r>
    </w:p>
    <w:p w14:paraId="4DBB9B4F">
      <w:pPr>
        <w:pageBreakBefore w:val="0"/>
        <w:widowControl w:val="0"/>
        <w:kinsoku/>
        <w:wordWrap/>
        <w:overflowPunct/>
        <w:topLinePunct w:val="0"/>
        <w:autoSpaceDE/>
        <w:autoSpaceDN/>
        <w:bidi w:val="0"/>
        <w:adjustRightInd/>
        <w:snapToGrid/>
        <w:spacing w:beforeLines="0" w:afterLines="0" w:line="570" w:lineRule="exact"/>
        <w:ind w:left="0" w:leftChars="0" w:right="0" w:rightChars="0" w:firstLine="640" w:firstLineChars="200"/>
        <w:textAlignment w:val="auto"/>
        <w:rPr>
          <w:rFonts w:hint="default" w:ascii="Times New Roman" w:hAnsi="Times New Roman" w:eastAsia="仿宋_GB2312" w:cs="Times New Roman"/>
          <w:spacing w:val="0"/>
          <w:sz w:val="32"/>
          <w:szCs w:val="32"/>
          <w:highlight w:val="none"/>
          <w:shd w:val="clear" w:color="auto" w:fill="auto"/>
        </w:rPr>
      </w:pPr>
      <w:r>
        <w:rPr>
          <w:rFonts w:hint="default" w:ascii="Times New Roman" w:hAnsi="Times New Roman" w:eastAsia="楷体_GB2312" w:cs="Times New Roman"/>
          <w:b w:val="0"/>
          <w:bCs w:val="0"/>
          <w:color w:val="000000"/>
          <w:spacing w:val="0"/>
          <w:sz w:val="32"/>
          <w:szCs w:val="32"/>
          <w:highlight w:val="none"/>
          <w:shd w:val="clear" w:color="auto" w:fill="auto"/>
        </w:rPr>
        <w:t>（</w:t>
      </w:r>
      <w:r>
        <w:rPr>
          <w:rFonts w:hint="eastAsia" w:ascii="Times New Roman" w:hAnsi="Times New Roman" w:eastAsia="楷体_GB2312" w:cs="Times New Roman"/>
          <w:b w:val="0"/>
          <w:bCs w:val="0"/>
          <w:color w:val="000000"/>
          <w:spacing w:val="0"/>
          <w:sz w:val="32"/>
          <w:szCs w:val="32"/>
          <w:highlight w:val="none"/>
          <w:shd w:val="clear" w:color="auto" w:fill="auto"/>
          <w:lang w:eastAsia="zh-CN"/>
        </w:rPr>
        <w:t>五</w:t>
      </w:r>
      <w:r>
        <w:rPr>
          <w:rFonts w:hint="default" w:ascii="Times New Roman" w:hAnsi="Times New Roman" w:eastAsia="楷体_GB2312" w:cs="Times New Roman"/>
          <w:b w:val="0"/>
          <w:bCs w:val="0"/>
          <w:color w:val="000000"/>
          <w:spacing w:val="0"/>
          <w:sz w:val="32"/>
          <w:szCs w:val="32"/>
          <w:highlight w:val="none"/>
          <w:shd w:val="clear" w:color="auto" w:fill="auto"/>
        </w:rPr>
        <w:t>）加强考核激励。</w:t>
      </w:r>
      <w:r>
        <w:rPr>
          <w:rFonts w:hint="default" w:ascii="Times New Roman" w:hAnsi="Times New Roman" w:eastAsia="仿宋_GB2312" w:cs="Times New Roman"/>
          <w:spacing w:val="0"/>
          <w:sz w:val="32"/>
          <w:szCs w:val="32"/>
          <w:highlight w:val="none"/>
          <w:shd w:val="clear" w:color="auto" w:fill="auto"/>
        </w:rPr>
        <w:t>区工业用地有机更新领导小组办公室要制定工作计划、</w:t>
      </w:r>
      <w:r>
        <w:rPr>
          <w:rFonts w:hint="eastAsia" w:ascii="Times New Roman" w:hAnsi="Times New Roman" w:cs="Times New Roman"/>
          <w:spacing w:val="0"/>
          <w:sz w:val="32"/>
          <w:szCs w:val="32"/>
          <w:highlight w:val="none"/>
          <w:shd w:val="clear" w:color="auto" w:fill="auto"/>
          <w:lang w:val="en-US" w:eastAsia="zh-CN"/>
        </w:rPr>
        <w:t>年度目标</w:t>
      </w:r>
      <w:r>
        <w:rPr>
          <w:rFonts w:hint="default" w:ascii="Times New Roman" w:hAnsi="Times New Roman" w:eastAsia="仿宋_GB2312" w:cs="Times New Roman"/>
          <w:spacing w:val="0"/>
          <w:sz w:val="32"/>
          <w:szCs w:val="32"/>
          <w:highlight w:val="none"/>
          <w:shd w:val="clear" w:color="auto" w:fill="auto"/>
        </w:rPr>
        <w:t>，结合数字化手段认真开展工业用地有机更新绩效评估，强化对各平台、镇街工作考核，确保该项工作积极稳妥、规范有序推进。实行存量工业用地盘活与新增建设用地指标相挂钩制度，按存量与增量5:1比例奖励平台、镇街新增工业用地指标。</w:t>
      </w:r>
    </w:p>
    <w:p w14:paraId="2DED8B49">
      <w:pPr>
        <w:pageBreakBefore w:val="0"/>
        <w:widowControl w:val="0"/>
        <w:kinsoku/>
        <w:wordWrap/>
        <w:overflowPunct/>
        <w:topLinePunct w:val="0"/>
        <w:autoSpaceDE/>
        <w:autoSpaceDN/>
        <w:bidi w:val="0"/>
        <w:adjustRightInd/>
        <w:snapToGrid/>
        <w:spacing w:beforeLines="0" w:afterLines="0" w:line="570" w:lineRule="exact"/>
        <w:ind w:left="0" w:leftChars="0" w:right="0" w:rightChars="0" w:firstLine="640" w:firstLineChars="200"/>
        <w:textAlignment w:val="auto"/>
        <w:rPr>
          <w:rFonts w:hint="default" w:ascii="Times New Roman" w:hAnsi="Times New Roman" w:eastAsia="仿宋_GB2312" w:cs="Times New Roman"/>
          <w:spacing w:val="0"/>
          <w:sz w:val="32"/>
          <w:szCs w:val="32"/>
          <w:highlight w:val="none"/>
          <w:shd w:val="clear" w:color="auto" w:fill="auto"/>
        </w:rPr>
      </w:pPr>
      <w:r>
        <w:rPr>
          <w:rFonts w:hint="default" w:ascii="Times New Roman" w:hAnsi="Times New Roman" w:eastAsia="楷体_GB2312" w:cs="Times New Roman"/>
          <w:b w:val="0"/>
          <w:bCs w:val="0"/>
          <w:color w:val="000000"/>
          <w:spacing w:val="0"/>
          <w:sz w:val="32"/>
          <w:szCs w:val="32"/>
          <w:highlight w:val="none"/>
          <w:shd w:val="clear" w:color="auto" w:fill="auto"/>
        </w:rPr>
        <w:t>（</w:t>
      </w:r>
      <w:r>
        <w:rPr>
          <w:rFonts w:hint="eastAsia" w:ascii="Times New Roman" w:hAnsi="Times New Roman" w:eastAsia="楷体_GB2312" w:cs="Times New Roman"/>
          <w:b w:val="0"/>
          <w:bCs w:val="0"/>
          <w:color w:val="000000"/>
          <w:spacing w:val="0"/>
          <w:sz w:val="32"/>
          <w:szCs w:val="32"/>
          <w:highlight w:val="none"/>
          <w:shd w:val="clear" w:color="auto" w:fill="auto"/>
          <w:lang w:eastAsia="zh-CN"/>
        </w:rPr>
        <w:t>六</w:t>
      </w:r>
      <w:r>
        <w:rPr>
          <w:rFonts w:hint="default" w:ascii="Times New Roman" w:hAnsi="Times New Roman" w:eastAsia="楷体_GB2312" w:cs="Times New Roman"/>
          <w:b w:val="0"/>
          <w:bCs w:val="0"/>
          <w:color w:val="000000"/>
          <w:spacing w:val="0"/>
          <w:sz w:val="32"/>
          <w:szCs w:val="32"/>
          <w:highlight w:val="none"/>
          <w:shd w:val="clear" w:color="auto" w:fill="auto"/>
        </w:rPr>
        <w:t>）加强宣传引导。</w:t>
      </w:r>
      <w:r>
        <w:rPr>
          <w:rFonts w:hint="default" w:ascii="Times New Roman" w:hAnsi="Times New Roman" w:eastAsia="仿宋_GB2312" w:cs="Times New Roman"/>
          <w:spacing w:val="0"/>
          <w:sz w:val="32"/>
          <w:szCs w:val="32"/>
          <w:highlight w:val="none"/>
          <w:shd w:val="clear" w:color="auto" w:fill="auto"/>
        </w:rPr>
        <w:t>区级各有关部门和各平台、镇街要通过多种形式，总结推广先进经验和典型做法，广泛宣传存量工业用地有机更新工作，营造良好的舆论环境和社会氛围。同时要优化完善各项工作机制和政策举措，促进工业用地有机更新朝着更加科学健康方向推进，尽快形成产业集聚、配套完善、宜业宜居的良好局面。</w:t>
      </w:r>
    </w:p>
    <w:p w14:paraId="2A224452">
      <w:pPr>
        <w:pageBreakBefore w:val="0"/>
        <w:widowControl w:val="0"/>
        <w:kinsoku/>
        <w:wordWrap/>
        <w:overflowPunct/>
        <w:topLinePunct w:val="0"/>
        <w:autoSpaceDE/>
        <w:autoSpaceDN/>
        <w:bidi w:val="0"/>
        <w:adjustRightInd/>
        <w:snapToGrid/>
        <w:spacing w:beforeLines="0" w:afterLines="0" w:line="570" w:lineRule="exact"/>
        <w:ind w:left="0" w:leftChars="0" w:right="0" w:rightChars="0" w:firstLine="640" w:firstLineChars="200"/>
        <w:textAlignment w:val="auto"/>
        <w:rPr>
          <w:rFonts w:hint="default" w:ascii="Times New Roman" w:hAnsi="Times New Roman" w:eastAsia="黑体" w:cs="Times New Roman"/>
          <w:color w:val="000000"/>
          <w:spacing w:val="0"/>
          <w:sz w:val="32"/>
          <w:szCs w:val="32"/>
          <w:highlight w:val="none"/>
          <w:shd w:val="clear" w:color="auto" w:fill="auto"/>
        </w:rPr>
      </w:pPr>
      <w:r>
        <w:rPr>
          <w:rFonts w:hint="default" w:ascii="Times New Roman" w:hAnsi="Times New Roman" w:eastAsia="黑体" w:cs="Times New Roman"/>
          <w:color w:val="000000"/>
          <w:spacing w:val="0"/>
          <w:sz w:val="32"/>
          <w:szCs w:val="32"/>
          <w:highlight w:val="none"/>
          <w:shd w:val="clear" w:color="auto" w:fill="auto"/>
        </w:rPr>
        <w:t>八、附则</w:t>
      </w:r>
    </w:p>
    <w:p w14:paraId="1E2A7647">
      <w:pPr>
        <w:pageBreakBefore w:val="0"/>
        <w:widowControl w:val="0"/>
        <w:kinsoku/>
        <w:wordWrap/>
        <w:overflowPunct/>
        <w:topLinePunct w:val="0"/>
        <w:autoSpaceDE/>
        <w:autoSpaceDN/>
        <w:bidi w:val="0"/>
        <w:adjustRightInd/>
        <w:snapToGrid/>
        <w:spacing w:beforeLines="0" w:afterLines="0" w:line="570" w:lineRule="exact"/>
        <w:ind w:left="0" w:leftChars="0" w:right="0" w:rightChars="0" w:firstLine="640" w:firstLineChars="200"/>
        <w:textAlignment w:val="auto"/>
        <w:rPr>
          <w:rFonts w:hint="default" w:ascii="Times New Roman" w:hAnsi="Times New Roman" w:eastAsia="仿宋_GB2312" w:cs="Times New Roman"/>
          <w:spacing w:val="0"/>
          <w:sz w:val="32"/>
          <w:szCs w:val="32"/>
          <w:highlight w:val="none"/>
          <w:shd w:val="clear" w:color="auto" w:fill="auto"/>
        </w:rPr>
      </w:pPr>
      <w:r>
        <w:rPr>
          <w:rFonts w:hint="default" w:ascii="Times New Roman" w:hAnsi="Times New Roman" w:eastAsia="仿宋_GB2312" w:cs="Times New Roman"/>
          <w:spacing w:val="0"/>
          <w:sz w:val="32"/>
          <w:szCs w:val="32"/>
          <w:highlight w:val="none"/>
          <w:shd w:val="clear" w:color="auto" w:fill="auto"/>
        </w:rPr>
        <w:t>（一）各实施主体要对存量工业用地有机更新项目的有关审批材料的真实性、合法性负责。对任何采取欺骗、隐瞒手段骗取审核同意的，依法撤销相应权证并追究相关人员责任。</w:t>
      </w:r>
    </w:p>
    <w:p w14:paraId="2BEDA6D4">
      <w:pPr>
        <w:pageBreakBefore w:val="0"/>
        <w:widowControl w:val="0"/>
        <w:kinsoku/>
        <w:wordWrap/>
        <w:overflowPunct/>
        <w:topLinePunct w:val="0"/>
        <w:autoSpaceDE/>
        <w:autoSpaceDN/>
        <w:bidi w:val="0"/>
        <w:adjustRightInd/>
        <w:snapToGrid/>
        <w:spacing w:beforeLines="0" w:afterLines="0" w:line="570" w:lineRule="exact"/>
        <w:ind w:left="0" w:leftChars="0" w:right="0" w:rightChars="0" w:firstLine="640" w:firstLineChars="200"/>
        <w:textAlignment w:val="auto"/>
        <w:rPr>
          <w:rFonts w:hint="default" w:ascii="Times New Roman" w:hAnsi="Times New Roman" w:eastAsia="仿宋_GB2312" w:cs="Times New Roman"/>
          <w:spacing w:val="0"/>
          <w:sz w:val="32"/>
          <w:szCs w:val="32"/>
          <w:shd w:val="clear" w:color="auto" w:fill="auto"/>
        </w:rPr>
      </w:pPr>
      <w:r>
        <w:rPr>
          <w:rFonts w:hint="default" w:ascii="Times New Roman" w:hAnsi="Times New Roman" w:eastAsia="仿宋_GB2312" w:cs="Times New Roman"/>
          <w:spacing w:val="0"/>
          <w:sz w:val="32"/>
          <w:szCs w:val="32"/>
          <w:highlight w:val="none"/>
          <w:shd w:val="clear" w:color="auto" w:fill="auto"/>
        </w:rPr>
        <w:t>（二）本实施意见自印发之日起施行，有效期至202</w:t>
      </w:r>
      <w:r>
        <w:rPr>
          <w:rFonts w:hint="eastAsia" w:ascii="Times New Roman" w:hAnsi="Times New Roman" w:cs="Times New Roman"/>
          <w:spacing w:val="0"/>
          <w:sz w:val="32"/>
          <w:szCs w:val="32"/>
          <w:highlight w:val="none"/>
          <w:shd w:val="clear" w:color="auto" w:fill="auto"/>
          <w:lang w:val="en-US" w:eastAsia="zh-CN"/>
        </w:rPr>
        <w:t>6</w:t>
      </w:r>
      <w:r>
        <w:rPr>
          <w:rFonts w:hint="default" w:ascii="Times New Roman" w:hAnsi="Times New Roman" w:eastAsia="仿宋_GB2312" w:cs="Times New Roman"/>
          <w:spacing w:val="0"/>
          <w:sz w:val="32"/>
          <w:szCs w:val="32"/>
          <w:highlight w:val="none"/>
          <w:shd w:val="clear" w:color="auto" w:fill="auto"/>
        </w:rPr>
        <w:t>年</w:t>
      </w:r>
      <w:r>
        <w:rPr>
          <w:rFonts w:hint="eastAsia" w:ascii="Times New Roman" w:hAnsi="Times New Roman" w:cs="Times New Roman"/>
          <w:spacing w:val="0"/>
          <w:sz w:val="32"/>
          <w:szCs w:val="32"/>
          <w:highlight w:val="none"/>
          <w:shd w:val="clear" w:color="auto" w:fill="auto"/>
          <w:lang w:val="en-US" w:eastAsia="zh-CN"/>
        </w:rPr>
        <w:t>12</w:t>
      </w:r>
      <w:r>
        <w:rPr>
          <w:rFonts w:hint="default" w:ascii="Times New Roman" w:hAnsi="Times New Roman" w:eastAsia="仿宋_GB2312" w:cs="Times New Roman"/>
          <w:spacing w:val="0"/>
          <w:sz w:val="32"/>
          <w:szCs w:val="32"/>
          <w:highlight w:val="none"/>
          <w:shd w:val="clear" w:color="auto" w:fill="auto"/>
        </w:rPr>
        <w:t>月</w:t>
      </w:r>
      <w:r>
        <w:rPr>
          <w:rFonts w:hint="eastAsia" w:ascii="Times New Roman" w:hAnsi="Times New Roman" w:cs="Times New Roman"/>
          <w:spacing w:val="0"/>
          <w:sz w:val="32"/>
          <w:szCs w:val="32"/>
          <w:highlight w:val="none"/>
          <w:shd w:val="clear" w:color="auto" w:fill="auto"/>
          <w:lang w:val="en-US" w:eastAsia="zh-CN"/>
        </w:rPr>
        <w:t>31</w:t>
      </w:r>
      <w:r>
        <w:rPr>
          <w:rFonts w:hint="default" w:ascii="Times New Roman" w:hAnsi="Times New Roman" w:eastAsia="仿宋_GB2312" w:cs="Times New Roman"/>
          <w:spacing w:val="0"/>
          <w:sz w:val="32"/>
          <w:szCs w:val="32"/>
          <w:highlight w:val="none"/>
          <w:shd w:val="clear" w:color="auto" w:fill="auto"/>
        </w:rPr>
        <w:t>日，</w:t>
      </w:r>
      <w:r>
        <w:rPr>
          <w:rFonts w:hint="default" w:ascii="Times New Roman" w:hAnsi="Times New Roman" w:eastAsia="仿宋_GB2312" w:cs="Times New Roman"/>
          <w:spacing w:val="0"/>
          <w:sz w:val="32"/>
          <w:szCs w:val="32"/>
          <w:shd w:val="clear" w:color="auto" w:fill="auto"/>
        </w:rPr>
        <w:t>由区经信局、市规划资源局余杭分局</w:t>
      </w:r>
      <w:r>
        <w:rPr>
          <w:rFonts w:hint="eastAsia" w:ascii="Times New Roman" w:hAnsi="Times New Roman" w:cs="Times New Roman"/>
          <w:spacing w:val="0"/>
          <w:sz w:val="32"/>
          <w:szCs w:val="32"/>
          <w:shd w:val="clear" w:color="auto" w:fill="auto"/>
          <w:lang w:val="en-US" w:eastAsia="zh-CN"/>
        </w:rPr>
        <w:t>牵头</w:t>
      </w:r>
      <w:r>
        <w:rPr>
          <w:rFonts w:hint="default" w:ascii="Times New Roman" w:hAnsi="Times New Roman" w:eastAsia="仿宋_GB2312" w:cs="Times New Roman"/>
          <w:spacing w:val="0"/>
          <w:sz w:val="32"/>
          <w:szCs w:val="32"/>
          <w:shd w:val="clear" w:color="auto" w:fill="auto"/>
        </w:rPr>
        <w:t>负责组织实施。</w:t>
      </w:r>
    </w:p>
    <w:p w14:paraId="0E7E497A">
      <w:pPr>
        <w:pageBreakBefore w:val="0"/>
        <w:widowControl w:val="0"/>
        <w:kinsoku/>
        <w:wordWrap/>
        <w:overflowPunct/>
        <w:topLinePunct w:val="0"/>
        <w:autoSpaceDE/>
        <w:autoSpaceDN/>
        <w:bidi w:val="0"/>
        <w:adjustRightInd/>
        <w:snapToGrid/>
        <w:spacing w:beforeLines="0" w:afterLines="0" w:line="570" w:lineRule="exact"/>
        <w:ind w:left="0" w:leftChars="0" w:right="0" w:rightChars="0" w:firstLine="640" w:firstLineChars="200"/>
        <w:textAlignment w:val="auto"/>
        <w:rPr>
          <w:rFonts w:hint="default" w:ascii="Times New Roman" w:hAnsi="Times New Roman" w:eastAsia="仿宋_GB2312" w:cs="Times New Roman"/>
          <w:spacing w:val="0"/>
          <w:szCs w:val="32"/>
          <w:shd w:val="clear" w:color="auto" w:fill="auto"/>
        </w:rPr>
      </w:pPr>
    </w:p>
    <w:p w14:paraId="12606F03">
      <w:pPr>
        <w:pageBreakBefore w:val="0"/>
        <w:widowControl w:val="0"/>
        <w:kinsoku/>
        <w:wordWrap/>
        <w:overflowPunct/>
        <w:topLinePunct w:val="0"/>
        <w:autoSpaceDE/>
        <w:autoSpaceDN/>
        <w:bidi w:val="0"/>
        <w:adjustRightInd/>
        <w:snapToGrid/>
        <w:spacing w:beforeLines="0" w:afterLines="0" w:line="570" w:lineRule="exact"/>
        <w:ind w:firstLine="640" w:firstLineChars="200"/>
        <w:textAlignment w:val="auto"/>
        <w:rPr>
          <w:spacing w:val="-3"/>
          <w:kern w:val="0"/>
          <w:szCs w:val="32"/>
          <w:shd w:val="clear" w:color="auto" w:fill="auto"/>
        </w:rPr>
      </w:pPr>
      <w:r>
        <w:rPr>
          <w:rFonts w:hint="default" w:ascii="Times New Roman" w:hAnsi="Times New Roman" w:eastAsia="仿宋_GB2312" w:cs="Times New Roman"/>
          <w:spacing w:val="0"/>
          <w:szCs w:val="32"/>
          <w:shd w:val="clear" w:color="auto" w:fill="auto"/>
        </w:rPr>
        <w:t>附件</w:t>
      </w:r>
      <w:r>
        <w:rPr>
          <w:rFonts w:hint="eastAsia" w:ascii="Times New Roman" w:hAnsi="Times New Roman" w:cs="Times New Roman"/>
          <w:spacing w:val="0"/>
          <w:szCs w:val="32"/>
          <w:shd w:val="clear" w:color="auto" w:fill="auto"/>
          <w:lang w:val="en-US" w:eastAsia="zh-CN"/>
        </w:rPr>
        <w:t>1</w:t>
      </w:r>
      <w:r>
        <w:rPr>
          <w:rFonts w:hint="default" w:ascii="Times New Roman" w:hAnsi="Times New Roman" w:eastAsia="仿宋_GB2312" w:cs="Times New Roman"/>
          <w:spacing w:val="0"/>
          <w:szCs w:val="32"/>
          <w:shd w:val="clear" w:color="auto" w:fill="auto"/>
        </w:rPr>
        <w:t>：余杭区工业用地有机更新领导小组成员名单</w:t>
      </w:r>
    </w:p>
    <w:p w14:paraId="42F8AE24">
      <w:pPr>
        <w:pageBreakBefore w:val="0"/>
        <w:widowControl w:val="0"/>
        <w:kinsoku/>
        <w:wordWrap/>
        <w:overflowPunct/>
        <w:topLinePunct w:val="0"/>
        <w:autoSpaceDE/>
        <w:autoSpaceDN/>
        <w:bidi w:val="0"/>
        <w:adjustRightInd/>
        <w:snapToGrid/>
        <w:spacing w:beforeLines="0" w:afterLines="0" w:line="570" w:lineRule="exact"/>
        <w:textAlignment w:val="auto"/>
        <w:rPr>
          <w:rFonts w:hint="default" w:eastAsia="黑体"/>
          <w:szCs w:val="32"/>
          <w:highlight w:val="none"/>
          <w:shd w:val="clear" w:color="auto" w:fill="auto"/>
          <w:lang w:val="en-US" w:eastAsia="zh-CN"/>
        </w:rPr>
      </w:pPr>
      <w:r>
        <w:rPr>
          <w:spacing w:val="-3"/>
          <w:kern w:val="0"/>
          <w:szCs w:val="32"/>
          <w:shd w:val="clear" w:color="auto" w:fill="auto"/>
        </w:rPr>
        <w:br w:type="page"/>
      </w:r>
      <w:r>
        <w:rPr>
          <w:rFonts w:eastAsia="黑体"/>
          <w:spacing w:val="0"/>
          <w:szCs w:val="32"/>
          <w:shd w:val="clear" w:color="auto" w:fill="auto"/>
        </w:rPr>
        <w:t>附件</w:t>
      </w:r>
      <w:r>
        <w:rPr>
          <w:rFonts w:hint="eastAsia" w:eastAsia="黑体"/>
          <w:spacing w:val="0"/>
          <w:szCs w:val="32"/>
          <w:shd w:val="clear" w:color="auto" w:fill="auto"/>
          <w:lang w:val="en-US" w:eastAsia="zh-CN"/>
        </w:rPr>
        <w:t>1</w:t>
      </w:r>
    </w:p>
    <w:p w14:paraId="6ABCCF7A">
      <w:pPr>
        <w:pageBreakBefore w:val="0"/>
        <w:widowControl w:val="0"/>
        <w:kinsoku/>
        <w:wordWrap/>
        <w:overflowPunct/>
        <w:topLinePunct w:val="0"/>
        <w:autoSpaceDE/>
        <w:autoSpaceDN/>
        <w:bidi w:val="0"/>
        <w:adjustRightInd/>
        <w:snapToGrid/>
        <w:spacing w:beforeLines="0" w:afterLines="0" w:line="570" w:lineRule="exact"/>
        <w:jc w:val="center"/>
        <w:textAlignment w:val="auto"/>
        <w:rPr>
          <w:rFonts w:eastAsia="方正小标宋_GBK"/>
          <w:sz w:val="44"/>
          <w:szCs w:val="44"/>
          <w:highlight w:val="none"/>
          <w:shd w:val="clear" w:color="auto" w:fill="auto"/>
        </w:rPr>
      </w:pPr>
    </w:p>
    <w:p w14:paraId="00C670F9">
      <w:pPr>
        <w:pageBreakBefore w:val="0"/>
        <w:widowControl w:val="0"/>
        <w:kinsoku/>
        <w:wordWrap/>
        <w:overflowPunct/>
        <w:topLinePunct w:val="0"/>
        <w:autoSpaceDE/>
        <w:autoSpaceDN/>
        <w:bidi w:val="0"/>
        <w:adjustRightInd/>
        <w:snapToGrid/>
        <w:spacing w:beforeLines="0" w:afterLines="0" w:line="570" w:lineRule="exact"/>
        <w:jc w:val="center"/>
        <w:textAlignment w:val="auto"/>
        <w:rPr>
          <w:rFonts w:eastAsia="方正小标宋_GBK"/>
          <w:sz w:val="44"/>
          <w:szCs w:val="44"/>
          <w:highlight w:val="none"/>
          <w:shd w:val="clear" w:color="auto" w:fill="auto"/>
        </w:rPr>
      </w:pPr>
      <w:r>
        <w:rPr>
          <w:rFonts w:eastAsia="方正小标宋_GBK"/>
          <w:sz w:val="44"/>
          <w:szCs w:val="44"/>
          <w:highlight w:val="none"/>
          <w:shd w:val="clear" w:color="auto" w:fill="auto"/>
        </w:rPr>
        <w:t>余杭区工业用地有机更新领导小组成员名单</w:t>
      </w:r>
    </w:p>
    <w:p w14:paraId="2C74E14D">
      <w:pPr>
        <w:pageBreakBefore w:val="0"/>
        <w:widowControl w:val="0"/>
        <w:kinsoku/>
        <w:wordWrap/>
        <w:overflowPunct/>
        <w:topLinePunct w:val="0"/>
        <w:autoSpaceDE/>
        <w:autoSpaceDN/>
        <w:bidi w:val="0"/>
        <w:adjustRightInd/>
        <w:snapToGrid/>
        <w:spacing w:beforeLines="0" w:afterLines="0" w:line="570" w:lineRule="exact"/>
        <w:jc w:val="center"/>
        <w:textAlignment w:val="auto"/>
        <w:rPr>
          <w:rFonts w:eastAsia="方正小标宋_GBK"/>
          <w:sz w:val="44"/>
          <w:szCs w:val="44"/>
          <w:highlight w:val="none"/>
          <w:shd w:val="clear" w:color="auto" w:fill="auto"/>
        </w:rPr>
      </w:pPr>
    </w:p>
    <w:p w14:paraId="3D093351">
      <w:pPr>
        <w:pageBreakBefore w:val="0"/>
        <w:widowControl w:val="0"/>
        <w:kinsoku/>
        <w:wordWrap/>
        <w:overflowPunct/>
        <w:topLinePunct w:val="0"/>
        <w:autoSpaceDE/>
        <w:autoSpaceDN/>
        <w:bidi w:val="0"/>
        <w:adjustRightInd/>
        <w:snapToGrid/>
        <w:spacing w:beforeLines="0" w:afterLines="0" w:line="570" w:lineRule="exact"/>
        <w:ind w:firstLine="548" w:firstLineChars="200"/>
        <w:textAlignment w:val="auto"/>
        <w:rPr>
          <w:rFonts w:eastAsia="仿宋_GB2312"/>
          <w:color w:val="000000"/>
          <w:spacing w:val="-23"/>
          <w:szCs w:val="32"/>
          <w:highlight w:val="none"/>
          <w:shd w:val="clear" w:color="auto" w:fill="auto"/>
        </w:rPr>
      </w:pPr>
      <w:r>
        <w:rPr>
          <w:rFonts w:eastAsia="仿宋_GB2312"/>
          <w:color w:val="000000"/>
          <w:spacing w:val="-23"/>
          <w:szCs w:val="32"/>
          <w:highlight w:val="none"/>
          <w:shd w:val="clear" w:color="auto" w:fill="auto"/>
        </w:rPr>
        <w:t>组  长：</w:t>
      </w:r>
      <w:r>
        <w:rPr>
          <w:rFonts w:hint="eastAsia"/>
          <w:color w:val="000000"/>
          <w:spacing w:val="-23"/>
          <w:szCs w:val="32"/>
          <w:highlight w:val="none"/>
          <w:shd w:val="clear" w:color="auto" w:fill="auto"/>
          <w:lang w:eastAsia="zh-CN"/>
        </w:rPr>
        <w:t>刘</w:t>
      </w:r>
      <w:r>
        <w:rPr>
          <w:rFonts w:hint="eastAsia"/>
          <w:color w:val="000000"/>
          <w:spacing w:val="-23"/>
          <w:szCs w:val="32"/>
          <w:highlight w:val="none"/>
          <w:shd w:val="clear" w:color="auto" w:fill="auto"/>
          <w:lang w:val="en-US" w:eastAsia="zh-CN"/>
        </w:rPr>
        <w:t xml:space="preserve">  </w:t>
      </w:r>
      <w:r>
        <w:rPr>
          <w:rFonts w:hint="eastAsia"/>
          <w:color w:val="000000"/>
          <w:spacing w:val="-23"/>
          <w:szCs w:val="32"/>
          <w:highlight w:val="none"/>
          <w:shd w:val="clear" w:color="auto" w:fill="auto"/>
          <w:lang w:eastAsia="zh-CN"/>
        </w:rPr>
        <w:t>颖</w:t>
      </w:r>
      <w:r>
        <w:rPr>
          <w:rFonts w:eastAsia="仿宋_GB2312"/>
          <w:color w:val="000000"/>
          <w:spacing w:val="-23"/>
          <w:szCs w:val="32"/>
          <w:highlight w:val="none"/>
          <w:shd w:val="clear" w:color="auto" w:fill="auto"/>
        </w:rPr>
        <w:t xml:space="preserve">  </w:t>
      </w:r>
      <w:r>
        <w:rPr>
          <w:rFonts w:hint="eastAsia"/>
          <w:color w:val="000000"/>
          <w:spacing w:val="-23"/>
          <w:szCs w:val="32"/>
          <w:highlight w:val="none"/>
          <w:shd w:val="clear" w:color="auto" w:fill="auto"/>
          <w:lang w:eastAsia="zh-CN"/>
        </w:rPr>
        <w:t>王</w:t>
      </w:r>
      <w:r>
        <w:rPr>
          <w:rFonts w:hint="eastAsia"/>
          <w:color w:val="000000"/>
          <w:spacing w:val="-23"/>
          <w:szCs w:val="32"/>
          <w:highlight w:val="none"/>
          <w:shd w:val="clear" w:color="auto" w:fill="auto"/>
          <w:lang w:val="en-US" w:eastAsia="zh-CN"/>
        </w:rPr>
        <w:t xml:space="preserve">  </w:t>
      </w:r>
      <w:r>
        <w:rPr>
          <w:rFonts w:hint="eastAsia"/>
          <w:color w:val="000000"/>
          <w:spacing w:val="-23"/>
          <w:szCs w:val="32"/>
          <w:highlight w:val="none"/>
          <w:shd w:val="clear" w:color="auto" w:fill="auto"/>
          <w:lang w:eastAsia="zh-CN"/>
        </w:rPr>
        <w:t>牮</w:t>
      </w:r>
    </w:p>
    <w:p w14:paraId="71CC8724">
      <w:pPr>
        <w:pageBreakBefore w:val="0"/>
        <w:widowControl w:val="0"/>
        <w:kinsoku/>
        <w:wordWrap/>
        <w:overflowPunct/>
        <w:topLinePunct w:val="0"/>
        <w:autoSpaceDE/>
        <w:autoSpaceDN/>
        <w:bidi w:val="0"/>
        <w:adjustRightInd/>
        <w:snapToGrid/>
        <w:spacing w:beforeLines="0" w:afterLines="0" w:line="570" w:lineRule="exact"/>
        <w:ind w:firstLine="548" w:firstLineChars="200"/>
        <w:textAlignment w:val="auto"/>
        <w:rPr>
          <w:rFonts w:eastAsia="仿宋_GB2312"/>
          <w:color w:val="000000"/>
          <w:spacing w:val="-23"/>
          <w:szCs w:val="32"/>
          <w:highlight w:val="none"/>
          <w:shd w:val="clear" w:color="auto" w:fill="auto"/>
        </w:rPr>
      </w:pPr>
      <w:r>
        <w:rPr>
          <w:rFonts w:eastAsia="仿宋_GB2312"/>
          <w:color w:val="000000"/>
          <w:spacing w:val="-23"/>
          <w:szCs w:val="32"/>
          <w:highlight w:val="none"/>
          <w:shd w:val="clear" w:color="auto" w:fill="auto"/>
        </w:rPr>
        <w:t xml:space="preserve">副组长：梅建胜  曾  宏  </w:t>
      </w:r>
      <w:r>
        <w:rPr>
          <w:rFonts w:hint="eastAsia"/>
          <w:color w:val="000000"/>
          <w:spacing w:val="-23"/>
          <w:szCs w:val="32"/>
          <w:highlight w:val="none"/>
          <w:shd w:val="clear" w:color="auto" w:fill="auto"/>
          <w:lang w:eastAsia="zh-CN"/>
        </w:rPr>
        <w:t>朱红耀</w:t>
      </w:r>
      <w:r>
        <w:rPr>
          <w:rFonts w:hint="eastAsia"/>
          <w:color w:val="000000"/>
          <w:spacing w:val="-23"/>
          <w:szCs w:val="32"/>
          <w:highlight w:val="none"/>
          <w:shd w:val="clear" w:color="auto" w:fill="auto"/>
          <w:lang w:val="en-US" w:eastAsia="zh-CN"/>
        </w:rPr>
        <w:t xml:space="preserve">  </w:t>
      </w:r>
      <w:r>
        <w:rPr>
          <w:rFonts w:eastAsia="仿宋_GB2312"/>
          <w:color w:val="000000"/>
          <w:spacing w:val="-23"/>
          <w:szCs w:val="32"/>
          <w:highlight w:val="none"/>
          <w:shd w:val="clear" w:color="auto" w:fill="auto"/>
        </w:rPr>
        <w:t xml:space="preserve">姚文华  </w:t>
      </w:r>
      <w:r>
        <w:rPr>
          <w:rFonts w:hint="eastAsia"/>
          <w:color w:val="000000"/>
          <w:spacing w:val="-23"/>
          <w:szCs w:val="32"/>
          <w:highlight w:val="none"/>
          <w:shd w:val="clear" w:color="auto" w:fill="auto"/>
          <w:lang w:eastAsia="zh-CN"/>
        </w:rPr>
        <w:t>吴远东</w:t>
      </w:r>
      <w:r>
        <w:rPr>
          <w:rFonts w:eastAsia="仿宋_GB2312"/>
          <w:color w:val="000000"/>
          <w:spacing w:val="-23"/>
          <w:szCs w:val="32"/>
          <w:highlight w:val="none"/>
          <w:shd w:val="clear" w:color="auto" w:fill="auto"/>
        </w:rPr>
        <w:t xml:space="preserve">  </w:t>
      </w:r>
      <w:r>
        <w:rPr>
          <w:rFonts w:hint="eastAsia"/>
          <w:color w:val="000000"/>
          <w:spacing w:val="-23"/>
          <w:szCs w:val="32"/>
          <w:highlight w:val="none"/>
          <w:shd w:val="clear" w:color="auto" w:fill="auto"/>
          <w:lang w:eastAsia="zh-CN"/>
        </w:rPr>
        <w:t>郭云伟</w:t>
      </w:r>
    </w:p>
    <w:p w14:paraId="44C802F1">
      <w:pPr>
        <w:pageBreakBefore w:val="0"/>
        <w:widowControl w:val="0"/>
        <w:kinsoku/>
        <w:wordWrap/>
        <w:overflowPunct/>
        <w:topLinePunct w:val="0"/>
        <w:autoSpaceDE/>
        <w:autoSpaceDN/>
        <w:bidi w:val="0"/>
        <w:adjustRightInd/>
        <w:snapToGrid/>
        <w:spacing w:beforeLines="0" w:afterLines="0" w:line="570" w:lineRule="exact"/>
        <w:ind w:firstLine="548" w:firstLineChars="200"/>
        <w:textAlignment w:val="auto"/>
        <w:rPr>
          <w:rFonts w:eastAsia="仿宋_GB2312"/>
          <w:color w:val="000000"/>
          <w:spacing w:val="-23"/>
          <w:szCs w:val="32"/>
          <w:highlight w:val="none"/>
          <w:shd w:val="clear" w:color="auto" w:fill="auto"/>
        </w:rPr>
      </w:pPr>
      <w:r>
        <w:rPr>
          <w:rFonts w:eastAsia="仿宋_GB2312"/>
          <w:color w:val="000000"/>
          <w:spacing w:val="-23"/>
          <w:szCs w:val="32"/>
          <w:highlight w:val="none"/>
          <w:shd w:val="clear" w:color="auto" w:fill="auto"/>
        </w:rPr>
        <w:t>成  员：</w:t>
      </w:r>
      <w:r>
        <w:rPr>
          <w:rFonts w:hint="eastAsia" w:eastAsia="仿宋_GB2312"/>
          <w:color w:val="000000"/>
          <w:spacing w:val="-23"/>
          <w:szCs w:val="32"/>
          <w:highlight w:val="none"/>
          <w:shd w:val="clear" w:color="auto" w:fill="auto"/>
        </w:rPr>
        <w:t>洪建良</w:t>
      </w:r>
      <w:r>
        <w:rPr>
          <w:rFonts w:eastAsia="仿宋_GB2312"/>
          <w:color w:val="000000"/>
          <w:spacing w:val="-23"/>
          <w:szCs w:val="32"/>
          <w:highlight w:val="none"/>
          <w:shd w:val="clear" w:color="auto" w:fill="auto"/>
        </w:rPr>
        <w:t>（区委办公室）</w:t>
      </w:r>
    </w:p>
    <w:p w14:paraId="2773273A">
      <w:pPr>
        <w:pageBreakBefore w:val="0"/>
        <w:widowControl w:val="0"/>
        <w:kinsoku/>
        <w:wordWrap/>
        <w:overflowPunct/>
        <w:topLinePunct w:val="0"/>
        <w:autoSpaceDE/>
        <w:autoSpaceDN/>
        <w:bidi w:val="0"/>
        <w:adjustRightInd/>
        <w:snapToGrid/>
        <w:spacing w:beforeLines="0" w:afterLines="0" w:line="570" w:lineRule="exact"/>
        <w:ind w:firstLine="548" w:firstLineChars="200"/>
        <w:textAlignment w:val="auto"/>
        <w:rPr>
          <w:rFonts w:eastAsia="仿宋_GB2312"/>
          <w:color w:val="000000"/>
          <w:spacing w:val="-23"/>
          <w:szCs w:val="32"/>
          <w:highlight w:val="none"/>
          <w:shd w:val="clear" w:color="auto" w:fill="auto"/>
        </w:rPr>
      </w:pPr>
      <w:r>
        <w:rPr>
          <w:rFonts w:eastAsia="仿宋_GB2312"/>
          <w:color w:val="000000"/>
          <w:spacing w:val="-23"/>
          <w:szCs w:val="32"/>
          <w:highlight w:val="none"/>
          <w:shd w:val="clear" w:color="auto" w:fill="auto"/>
        </w:rPr>
        <w:t xml:space="preserve">        </w:t>
      </w:r>
      <w:r>
        <w:rPr>
          <w:rFonts w:hint="eastAsia"/>
          <w:color w:val="000000"/>
          <w:spacing w:val="-23"/>
          <w:szCs w:val="32"/>
          <w:highlight w:val="none"/>
          <w:shd w:val="clear" w:color="auto" w:fill="auto"/>
          <w:lang w:val="en-US" w:eastAsia="zh-CN"/>
        </w:rPr>
        <w:t xml:space="preserve"> </w:t>
      </w:r>
      <w:r>
        <w:rPr>
          <w:rFonts w:eastAsia="仿宋_GB2312"/>
          <w:color w:val="000000"/>
          <w:spacing w:val="-23"/>
          <w:szCs w:val="32"/>
          <w:highlight w:val="none"/>
          <w:shd w:val="clear" w:color="auto" w:fill="auto"/>
        </w:rPr>
        <w:t>李  华（区政府办公室）</w:t>
      </w:r>
    </w:p>
    <w:p w14:paraId="11100629">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548" w:firstLineChars="200"/>
        <w:jc w:val="left"/>
        <w:textAlignment w:val="auto"/>
        <w:outlineLvl w:val="9"/>
        <w:rPr>
          <w:rFonts w:hint="eastAsia" w:eastAsia="仿宋_GB2312" w:cs="Times New Roman"/>
          <w:spacing w:val="-23"/>
          <w:sz w:val="32"/>
          <w:szCs w:val="32"/>
          <w:highlight w:val="none"/>
          <w:lang w:val="en-US" w:eastAsia="zh-CN"/>
        </w:rPr>
      </w:pPr>
      <w:r>
        <w:rPr>
          <w:rFonts w:hint="eastAsia" w:cs="Times New Roman"/>
          <w:spacing w:val="-23"/>
          <w:sz w:val="32"/>
          <w:szCs w:val="32"/>
          <w:highlight w:val="none"/>
          <w:lang w:val="en-US" w:eastAsia="zh-CN"/>
        </w:rPr>
        <w:t xml:space="preserve"> </w:t>
      </w:r>
      <w:r>
        <w:rPr>
          <w:rFonts w:hint="eastAsia" w:eastAsia="仿宋_GB2312" w:cs="Times New Roman"/>
          <w:spacing w:val="-23"/>
          <w:sz w:val="32"/>
          <w:szCs w:val="32"/>
          <w:highlight w:val="none"/>
          <w:lang w:val="en-US" w:eastAsia="zh-CN"/>
        </w:rPr>
        <w:t xml:space="preserve">        华建林（区发改局）</w:t>
      </w:r>
    </w:p>
    <w:p w14:paraId="1783183A">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548" w:firstLineChars="200"/>
        <w:jc w:val="left"/>
        <w:textAlignment w:val="auto"/>
        <w:outlineLvl w:val="9"/>
        <w:rPr>
          <w:rFonts w:hint="eastAsia" w:eastAsia="仿宋_GB2312" w:cs="Times New Roman"/>
          <w:spacing w:val="-23"/>
          <w:sz w:val="32"/>
          <w:szCs w:val="32"/>
          <w:highlight w:val="none"/>
          <w:lang w:val="en-US" w:eastAsia="zh-CN"/>
        </w:rPr>
      </w:pPr>
      <w:r>
        <w:rPr>
          <w:rFonts w:hint="eastAsia" w:eastAsia="仿宋_GB2312" w:cs="Times New Roman"/>
          <w:spacing w:val="-23"/>
          <w:sz w:val="32"/>
          <w:szCs w:val="32"/>
          <w:highlight w:val="none"/>
          <w:lang w:val="en-US" w:eastAsia="zh-CN"/>
        </w:rPr>
        <w:t xml:space="preserve">      </w:t>
      </w:r>
      <w:r>
        <w:rPr>
          <w:rFonts w:hint="eastAsia" w:cs="Times New Roman"/>
          <w:spacing w:val="-23"/>
          <w:sz w:val="32"/>
          <w:szCs w:val="32"/>
          <w:highlight w:val="none"/>
          <w:lang w:val="en-US" w:eastAsia="zh-CN"/>
        </w:rPr>
        <w:t xml:space="preserve"> </w:t>
      </w:r>
      <w:r>
        <w:rPr>
          <w:rFonts w:hint="eastAsia" w:eastAsia="仿宋_GB2312" w:cs="Times New Roman"/>
          <w:spacing w:val="-23"/>
          <w:sz w:val="32"/>
          <w:szCs w:val="32"/>
          <w:highlight w:val="none"/>
          <w:lang w:val="en-US" w:eastAsia="zh-CN"/>
        </w:rPr>
        <w:t xml:space="preserve">  李晓琦（区经信局）</w:t>
      </w:r>
    </w:p>
    <w:p w14:paraId="3F3F729A">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548" w:firstLineChars="200"/>
        <w:jc w:val="left"/>
        <w:textAlignment w:val="auto"/>
        <w:outlineLvl w:val="9"/>
        <w:rPr>
          <w:rFonts w:hint="eastAsia" w:eastAsia="仿宋_GB2312" w:cs="Times New Roman"/>
          <w:spacing w:val="-23"/>
          <w:sz w:val="32"/>
          <w:szCs w:val="32"/>
          <w:highlight w:val="none"/>
          <w:lang w:val="en-US" w:eastAsia="zh-CN"/>
        </w:rPr>
      </w:pPr>
      <w:r>
        <w:rPr>
          <w:rFonts w:hint="eastAsia" w:eastAsia="仿宋_GB2312" w:cs="Times New Roman"/>
          <w:spacing w:val="-23"/>
          <w:sz w:val="32"/>
          <w:szCs w:val="32"/>
          <w:highlight w:val="none"/>
          <w:lang w:val="en-US" w:eastAsia="zh-CN"/>
        </w:rPr>
        <w:t xml:space="preserve">     </w:t>
      </w:r>
      <w:r>
        <w:rPr>
          <w:rFonts w:hint="eastAsia" w:cs="Times New Roman"/>
          <w:spacing w:val="-23"/>
          <w:sz w:val="32"/>
          <w:szCs w:val="32"/>
          <w:highlight w:val="none"/>
          <w:lang w:val="en-US" w:eastAsia="zh-CN"/>
        </w:rPr>
        <w:t xml:space="preserve"> </w:t>
      </w:r>
      <w:r>
        <w:rPr>
          <w:rFonts w:hint="eastAsia" w:eastAsia="仿宋_GB2312" w:cs="Times New Roman"/>
          <w:spacing w:val="-23"/>
          <w:sz w:val="32"/>
          <w:szCs w:val="32"/>
          <w:highlight w:val="none"/>
          <w:lang w:val="en-US" w:eastAsia="zh-CN"/>
        </w:rPr>
        <w:t xml:space="preserve">   周  坚（区科技局）</w:t>
      </w:r>
    </w:p>
    <w:p w14:paraId="50E1F4F7">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548" w:firstLineChars="200"/>
        <w:jc w:val="left"/>
        <w:textAlignment w:val="auto"/>
        <w:outlineLvl w:val="9"/>
        <w:rPr>
          <w:rFonts w:hint="eastAsia" w:eastAsia="仿宋_GB2312" w:cs="Times New Roman"/>
          <w:spacing w:val="-23"/>
          <w:sz w:val="32"/>
          <w:szCs w:val="32"/>
          <w:highlight w:val="none"/>
          <w:lang w:val="en-US" w:eastAsia="zh-CN"/>
        </w:rPr>
      </w:pPr>
      <w:r>
        <w:rPr>
          <w:rFonts w:hint="eastAsia" w:eastAsia="仿宋_GB2312" w:cs="Times New Roman"/>
          <w:spacing w:val="-23"/>
          <w:sz w:val="32"/>
          <w:szCs w:val="32"/>
          <w:highlight w:val="none"/>
          <w:lang w:val="en-US" w:eastAsia="zh-CN"/>
        </w:rPr>
        <w:t xml:space="preserve">     </w:t>
      </w:r>
      <w:r>
        <w:rPr>
          <w:rFonts w:hint="eastAsia" w:cs="Times New Roman"/>
          <w:spacing w:val="-23"/>
          <w:sz w:val="32"/>
          <w:szCs w:val="32"/>
          <w:highlight w:val="none"/>
          <w:lang w:val="en-US" w:eastAsia="zh-CN"/>
        </w:rPr>
        <w:t xml:space="preserve"> </w:t>
      </w:r>
      <w:r>
        <w:rPr>
          <w:rFonts w:hint="eastAsia" w:eastAsia="仿宋_GB2312" w:cs="Times New Roman"/>
          <w:spacing w:val="-23"/>
          <w:sz w:val="32"/>
          <w:szCs w:val="32"/>
          <w:highlight w:val="none"/>
          <w:lang w:val="en-US" w:eastAsia="zh-CN"/>
        </w:rPr>
        <w:t xml:space="preserve">   姜根军（区财政局）</w:t>
      </w:r>
    </w:p>
    <w:p w14:paraId="106B6A14">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548" w:firstLineChars="200"/>
        <w:jc w:val="left"/>
        <w:textAlignment w:val="auto"/>
        <w:outlineLvl w:val="9"/>
        <w:rPr>
          <w:rFonts w:hint="eastAsia" w:eastAsia="仿宋_GB2312" w:cs="Times New Roman"/>
          <w:spacing w:val="-23"/>
          <w:sz w:val="32"/>
          <w:szCs w:val="32"/>
          <w:highlight w:val="none"/>
          <w:lang w:val="en-US" w:eastAsia="zh-CN"/>
        </w:rPr>
      </w:pPr>
      <w:r>
        <w:rPr>
          <w:rFonts w:hint="eastAsia" w:eastAsia="仿宋_GB2312" w:cs="Times New Roman"/>
          <w:spacing w:val="-23"/>
          <w:sz w:val="32"/>
          <w:szCs w:val="32"/>
          <w:highlight w:val="none"/>
          <w:lang w:val="en-US" w:eastAsia="zh-CN"/>
        </w:rPr>
        <w:t xml:space="preserve">     </w:t>
      </w:r>
      <w:r>
        <w:rPr>
          <w:rFonts w:hint="eastAsia" w:cs="Times New Roman"/>
          <w:spacing w:val="-23"/>
          <w:sz w:val="32"/>
          <w:szCs w:val="32"/>
          <w:highlight w:val="none"/>
          <w:lang w:val="en-US" w:eastAsia="zh-CN"/>
        </w:rPr>
        <w:t xml:space="preserve"> </w:t>
      </w:r>
      <w:r>
        <w:rPr>
          <w:rFonts w:hint="eastAsia" w:eastAsia="仿宋_GB2312" w:cs="Times New Roman"/>
          <w:spacing w:val="-23"/>
          <w:sz w:val="32"/>
          <w:szCs w:val="32"/>
          <w:highlight w:val="none"/>
          <w:lang w:val="en-US" w:eastAsia="zh-CN"/>
        </w:rPr>
        <w:t xml:space="preserve">   陈小平（区住建局）</w:t>
      </w:r>
    </w:p>
    <w:p w14:paraId="3A26EF8C">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548" w:firstLineChars="200"/>
        <w:jc w:val="left"/>
        <w:textAlignment w:val="auto"/>
        <w:outlineLvl w:val="9"/>
        <w:rPr>
          <w:rFonts w:hint="eastAsia" w:eastAsia="仿宋_GB2312" w:cs="Times New Roman"/>
          <w:spacing w:val="-23"/>
          <w:sz w:val="32"/>
          <w:szCs w:val="32"/>
          <w:highlight w:val="none"/>
          <w:lang w:val="en-US" w:eastAsia="zh-CN"/>
        </w:rPr>
      </w:pPr>
      <w:r>
        <w:rPr>
          <w:rFonts w:hint="eastAsia" w:eastAsia="仿宋_GB2312" w:cs="Times New Roman"/>
          <w:spacing w:val="-23"/>
          <w:sz w:val="32"/>
          <w:szCs w:val="32"/>
          <w:highlight w:val="none"/>
          <w:lang w:val="en-US" w:eastAsia="zh-CN"/>
        </w:rPr>
        <w:t xml:space="preserve">      </w:t>
      </w:r>
      <w:r>
        <w:rPr>
          <w:rFonts w:hint="eastAsia" w:cs="Times New Roman"/>
          <w:spacing w:val="-23"/>
          <w:sz w:val="32"/>
          <w:szCs w:val="32"/>
          <w:highlight w:val="none"/>
          <w:lang w:val="en-US" w:eastAsia="zh-CN"/>
        </w:rPr>
        <w:t xml:space="preserve"> </w:t>
      </w:r>
      <w:r>
        <w:rPr>
          <w:rFonts w:hint="eastAsia" w:eastAsia="仿宋_GB2312" w:cs="Times New Roman"/>
          <w:spacing w:val="-23"/>
          <w:sz w:val="32"/>
          <w:szCs w:val="32"/>
          <w:highlight w:val="none"/>
          <w:lang w:val="en-US" w:eastAsia="zh-CN"/>
        </w:rPr>
        <w:t xml:space="preserve">  </w:t>
      </w:r>
      <w:r>
        <w:rPr>
          <w:rFonts w:hint="eastAsia" w:cs="Times New Roman"/>
          <w:spacing w:val="-23"/>
          <w:sz w:val="32"/>
          <w:szCs w:val="32"/>
          <w:highlight w:val="none"/>
          <w:lang w:val="en-US" w:eastAsia="zh-CN"/>
        </w:rPr>
        <w:t>王  辉</w:t>
      </w:r>
      <w:r>
        <w:rPr>
          <w:rFonts w:hint="eastAsia" w:eastAsia="仿宋_GB2312" w:cs="Times New Roman"/>
          <w:spacing w:val="-23"/>
          <w:sz w:val="32"/>
          <w:szCs w:val="32"/>
          <w:highlight w:val="none"/>
          <w:lang w:val="en-US" w:eastAsia="zh-CN"/>
        </w:rPr>
        <w:t>（区林水局）</w:t>
      </w:r>
    </w:p>
    <w:p w14:paraId="68C73265">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548" w:firstLineChars="200"/>
        <w:jc w:val="left"/>
        <w:textAlignment w:val="auto"/>
        <w:outlineLvl w:val="9"/>
        <w:rPr>
          <w:rFonts w:hint="eastAsia" w:eastAsia="仿宋_GB2312" w:cs="Times New Roman"/>
          <w:spacing w:val="-23"/>
          <w:sz w:val="32"/>
          <w:szCs w:val="32"/>
          <w:highlight w:val="none"/>
          <w:lang w:val="en-US" w:eastAsia="zh-CN"/>
        </w:rPr>
      </w:pPr>
      <w:r>
        <w:rPr>
          <w:rFonts w:hint="eastAsia" w:eastAsia="仿宋_GB2312" w:cs="Times New Roman"/>
          <w:spacing w:val="-23"/>
          <w:sz w:val="32"/>
          <w:szCs w:val="32"/>
          <w:highlight w:val="none"/>
          <w:lang w:val="en-US" w:eastAsia="zh-CN"/>
        </w:rPr>
        <w:t xml:space="preserve">     </w:t>
      </w:r>
      <w:r>
        <w:rPr>
          <w:rFonts w:hint="eastAsia" w:cs="Times New Roman"/>
          <w:spacing w:val="-23"/>
          <w:sz w:val="32"/>
          <w:szCs w:val="32"/>
          <w:highlight w:val="none"/>
          <w:lang w:val="en-US" w:eastAsia="zh-CN"/>
        </w:rPr>
        <w:t xml:space="preserve"> </w:t>
      </w:r>
      <w:r>
        <w:rPr>
          <w:rFonts w:hint="eastAsia" w:eastAsia="仿宋_GB2312" w:cs="Times New Roman"/>
          <w:spacing w:val="-23"/>
          <w:sz w:val="32"/>
          <w:szCs w:val="32"/>
          <w:highlight w:val="none"/>
          <w:lang w:val="en-US" w:eastAsia="zh-CN"/>
        </w:rPr>
        <w:t xml:space="preserve">   傅  蓉（区商务局）</w:t>
      </w:r>
    </w:p>
    <w:p w14:paraId="061D1ED9">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548" w:firstLineChars="200"/>
        <w:jc w:val="left"/>
        <w:textAlignment w:val="auto"/>
        <w:outlineLvl w:val="9"/>
        <w:rPr>
          <w:rFonts w:hint="eastAsia" w:eastAsia="仿宋_GB2312" w:cs="Times New Roman"/>
          <w:spacing w:val="-23"/>
          <w:sz w:val="32"/>
          <w:szCs w:val="32"/>
          <w:highlight w:val="none"/>
          <w:lang w:val="en-US" w:eastAsia="zh-CN"/>
        </w:rPr>
      </w:pPr>
      <w:r>
        <w:rPr>
          <w:rFonts w:hint="eastAsia" w:eastAsia="仿宋_GB2312" w:cs="Times New Roman"/>
          <w:spacing w:val="-23"/>
          <w:sz w:val="32"/>
          <w:szCs w:val="32"/>
          <w:highlight w:val="none"/>
          <w:lang w:val="en-US" w:eastAsia="zh-CN"/>
        </w:rPr>
        <w:t xml:space="preserve">   </w:t>
      </w:r>
      <w:r>
        <w:rPr>
          <w:rFonts w:hint="eastAsia" w:cs="Times New Roman"/>
          <w:spacing w:val="-23"/>
          <w:sz w:val="32"/>
          <w:szCs w:val="32"/>
          <w:highlight w:val="none"/>
          <w:lang w:val="en-US" w:eastAsia="zh-CN"/>
        </w:rPr>
        <w:t xml:space="preserve"> </w:t>
      </w:r>
      <w:r>
        <w:rPr>
          <w:rFonts w:hint="eastAsia" w:eastAsia="仿宋_GB2312" w:cs="Times New Roman"/>
          <w:spacing w:val="-23"/>
          <w:sz w:val="32"/>
          <w:szCs w:val="32"/>
          <w:highlight w:val="none"/>
          <w:lang w:val="en-US" w:eastAsia="zh-CN"/>
        </w:rPr>
        <w:t xml:space="preserve">     裘  望（区应急管理局）</w:t>
      </w:r>
    </w:p>
    <w:p w14:paraId="5136D76A">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548" w:firstLineChars="200"/>
        <w:jc w:val="left"/>
        <w:textAlignment w:val="auto"/>
        <w:outlineLvl w:val="9"/>
        <w:rPr>
          <w:rFonts w:hint="eastAsia" w:eastAsia="仿宋_GB2312" w:cs="Times New Roman"/>
          <w:spacing w:val="-23"/>
          <w:sz w:val="32"/>
          <w:szCs w:val="32"/>
          <w:highlight w:val="none"/>
          <w:lang w:val="en-US" w:eastAsia="zh-CN"/>
        </w:rPr>
      </w:pPr>
      <w:r>
        <w:rPr>
          <w:rFonts w:hint="eastAsia" w:eastAsia="仿宋_GB2312" w:cs="Times New Roman"/>
          <w:spacing w:val="-23"/>
          <w:sz w:val="32"/>
          <w:szCs w:val="32"/>
          <w:highlight w:val="none"/>
          <w:lang w:val="en-US" w:eastAsia="zh-CN"/>
        </w:rPr>
        <w:t xml:space="preserve">    </w:t>
      </w:r>
      <w:r>
        <w:rPr>
          <w:rFonts w:hint="eastAsia" w:cs="Times New Roman"/>
          <w:spacing w:val="-23"/>
          <w:sz w:val="32"/>
          <w:szCs w:val="32"/>
          <w:highlight w:val="none"/>
          <w:lang w:val="en-US" w:eastAsia="zh-CN"/>
        </w:rPr>
        <w:t xml:space="preserve"> </w:t>
      </w:r>
      <w:r>
        <w:rPr>
          <w:rFonts w:hint="eastAsia" w:eastAsia="仿宋_GB2312" w:cs="Times New Roman"/>
          <w:spacing w:val="-23"/>
          <w:sz w:val="32"/>
          <w:szCs w:val="32"/>
          <w:highlight w:val="none"/>
          <w:lang w:val="en-US" w:eastAsia="zh-CN"/>
        </w:rPr>
        <w:t xml:space="preserve">    汪仁娣（区市场监管局）</w:t>
      </w:r>
    </w:p>
    <w:p w14:paraId="6B991206">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548" w:firstLineChars="200"/>
        <w:jc w:val="left"/>
        <w:textAlignment w:val="auto"/>
        <w:outlineLvl w:val="9"/>
        <w:rPr>
          <w:rFonts w:hint="eastAsia" w:eastAsia="仿宋_GB2312" w:cs="Times New Roman"/>
          <w:spacing w:val="-23"/>
          <w:sz w:val="32"/>
          <w:szCs w:val="32"/>
          <w:highlight w:val="none"/>
          <w:lang w:val="en-US" w:eastAsia="zh-CN"/>
        </w:rPr>
      </w:pPr>
      <w:r>
        <w:rPr>
          <w:rFonts w:hint="eastAsia" w:eastAsia="仿宋_GB2312" w:cs="Times New Roman"/>
          <w:spacing w:val="-23"/>
          <w:sz w:val="32"/>
          <w:szCs w:val="32"/>
          <w:highlight w:val="none"/>
          <w:lang w:val="en-US" w:eastAsia="zh-CN"/>
        </w:rPr>
        <w:t xml:space="preserve">      </w:t>
      </w:r>
      <w:r>
        <w:rPr>
          <w:rFonts w:hint="eastAsia" w:cs="Times New Roman"/>
          <w:spacing w:val="-23"/>
          <w:sz w:val="32"/>
          <w:szCs w:val="32"/>
          <w:highlight w:val="none"/>
          <w:lang w:val="en-US" w:eastAsia="zh-CN"/>
        </w:rPr>
        <w:t xml:space="preserve"> </w:t>
      </w:r>
      <w:r>
        <w:rPr>
          <w:rFonts w:hint="eastAsia" w:eastAsia="仿宋_GB2312" w:cs="Times New Roman"/>
          <w:spacing w:val="-23"/>
          <w:sz w:val="32"/>
          <w:szCs w:val="32"/>
          <w:highlight w:val="none"/>
          <w:lang w:val="en-US" w:eastAsia="zh-CN"/>
        </w:rPr>
        <w:t xml:space="preserve">  林丹琴（区统计局）</w:t>
      </w:r>
    </w:p>
    <w:p w14:paraId="452131C0">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548" w:firstLineChars="200"/>
        <w:jc w:val="left"/>
        <w:textAlignment w:val="auto"/>
        <w:outlineLvl w:val="9"/>
        <w:rPr>
          <w:rFonts w:hint="eastAsia" w:eastAsia="仿宋_GB2312" w:cs="Times New Roman"/>
          <w:spacing w:val="-23"/>
          <w:sz w:val="32"/>
          <w:szCs w:val="32"/>
          <w:highlight w:val="none"/>
          <w:lang w:val="en-US" w:eastAsia="zh-CN"/>
        </w:rPr>
      </w:pPr>
      <w:r>
        <w:rPr>
          <w:rFonts w:hint="eastAsia" w:eastAsia="仿宋_GB2312" w:cs="Times New Roman"/>
          <w:spacing w:val="-23"/>
          <w:sz w:val="32"/>
          <w:szCs w:val="32"/>
          <w:highlight w:val="none"/>
          <w:lang w:val="en-US" w:eastAsia="zh-CN"/>
        </w:rPr>
        <w:t xml:space="preserve">      </w:t>
      </w:r>
      <w:r>
        <w:rPr>
          <w:rFonts w:hint="eastAsia" w:cs="Times New Roman"/>
          <w:spacing w:val="-23"/>
          <w:sz w:val="32"/>
          <w:szCs w:val="32"/>
          <w:highlight w:val="none"/>
          <w:lang w:val="en-US" w:eastAsia="zh-CN"/>
        </w:rPr>
        <w:t xml:space="preserve"> </w:t>
      </w:r>
      <w:r>
        <w:rPr>
          <w:rFonts w:hint="eastAsia" w:eastAsia="仿宋_GB2312" w:cs="Times New Roman"/>
          <w:spacing w:val="-23"/>
          <w:sz w:val="32"/>
          <w:szCs w:val="32"/>
          <w:highlight w:val="none"/>
          <w:lang w:val="en-US" w:eastAsia="zh-CN"/>
        </w:rPr>
        <w:t xml:space="preserve">  袁金明（区综合行政执法局）</w:t>
      </w:r>
    </w:p>
    <w:p w14:paraId="26066BE2">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548" w:firstLineChars="200"/>
        <w:jc w:val="left"/>
        <w:textAlignment w:val="auto"/>
        <w:outlineLvl w:val="9"/>
        <w:rPr>
          <w:rFonts w:hint="eastAsia" w:eastAsia="仿宋_GB2312" w:cs="Times New Roman"/>
          <w:spacing w:val="-23"/>
          <w:sz w:val="32"/>
          <w:szCs w:val="32"/>
          <w:highlight w:val="none"/>
          <w:lang w:val="en-US" w:eastAsia="zh-CN"/>
        </w:rPr>
      </w:pPr>
      <w:r>
        <w:rPr>
          <w:rFonts w:hint="eastAsia" w:eastAsia="仿宋_GB2312" w:cs="Times New Roman"/>
          <w:spacing w:val="-23"/>
          <w:sz w:val="32"/>
          <w:szCs w:val="32"/>
          <w:highlight w:val="none"/>
          <w:lang w:val="en-US" w:eastAsia="zh-CN"/>
        </w:rPr>
        <w:t xml:space="preserve">      </w:t>
      </w:r>
      <w:r>
        <w:rPr>
          <w:rFonts w:hint="eastAsia" w:cs="Times New Roman"/>
          <w:spacing w:val="-23"/>
          <w:sz w:val="32"/>
          <w:szCs w:val="32"/>
          <w:highlight w:val="none"/>
          <w:lang w:val="en-US" w:eastAsia="zh-CN"/>
        </w:rPr>
        <w:t xml:space="preserve"> </w:t>
      </w:r>
      <w:r>
        <w:rPr>
          <w:rFonts w:hint="eastAsia" w:eastAsia="仿宋_GB2312" w:cs="Times New Roman"/>
          <w:spacing w:val="-23"/>
          <w:sz w:val="32"/>
          <w:szCs w:val="32"/>
          <w:highlight w:val="none"/>
          <w:lang w:val="en-US" w:eastAsia="zh-CN"/>
        </w:rPr>
        <w:t xml:space="preserve">  李  巍（区审管办）</w:t>
      </w:r>
    </w:p>
    <w:p w14:paraId="554D18BE">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548" w:firstLineChars="200"/>
        <w:jc w:val="left"/>
        <w:textAlignment w:val="auto"/>
        <w:outlineLvl w:val="9"/>
        <w:rPr>
          <w:rFonts w:hint="eastAsia" w:eastAsia="仿宋_GB2312" w:cs="Times New Roman"/>
          <w:spacing w:val="-23"/>
          <w:sz w:val="32"/>
          <w:szCs w:val="32"/>
          <w:highlight w:val="none"/>
          <w:lang w:val="en-US" w:eastAsia="zh-CN"/>
        </w:rPr>
      </w:pPr>
      <w:r>
        <w:rPr>
          <w:rFonts w:hint="eastAsia" w:eastAsia="仿宋_GB2312" w:cs="Times New Roman"/>
          <w:spacing w:val="-23"/>
          <w:sz w:val="32"/>
          <w:szCs w:val="32"/>
          <w:highlight w:val="none"/>
          <w:lang w:val="en-US" w:eastAsia="zh-CN"/>
        </w:rPr>
        <w:t xml:space="preserve">     </w:t>
      </w:r>
      <w:r>
        <w:rPr>
          <w:rFonts w:hint="eastAsia" w:cs="Times New Roman"/>
          <w:spacing w:val="-23"/>
          <w:sz w:val="32"/>
          <w:szCs w:val="32"/>
          <w:highlight w:val="none"/>
          <w:lang w:val="en-US" w:eastAsia="zh-CN"/>
        </w:rPr>
        <w:t xml:space="preserve"> </w:t>
      </w:r>
      <w:r>
        <w:rPr>
          <w:rFonts w:hint="eastAsia" w:eastAsia="仿宋_GB2312" w:cs="Times New Roman"/>
          <w:spacing w:val="-23"/>
          <w:sz w:val="32"/>
          <w:szCs w:val="32"/>
          <w:highlight w:val="none"/>
          <w:lang w:val="en-US" w:eastAsia="zh-CN"/>
        </w:rPr>
        <w:t xml:space="preserve">   童旭明（区税务局）</w:t>
      </w:r>
    </w:p>
    <w:p w14:paraId="77D1130C">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548" w:firstLineChars="200"/>
        <w:jc w:val="left"/>
        <w:textAlignment w:val="auto"/>
        <w:outlineLvl w:val="9"/>
        <w:rPr>
          <w:rFonts w:hint="eastAsia" w:eastAsia="仿宋_GB2312" w:cs="Times New Roman"/>
          <w:spacing w:val="-23"/>
          <w:sz w:val="32"/>
          <w:szCs w:val="32"/>
          <w:highlight w:val="none"/>
          <w:lang w:val="en-US" w:eastAsia="zh-CN"/>
        </w:rPr>
      </w:pPr>
      <w:r>
        <w:rPr>
          <w:rFonts w:hint="eastAsia" w:eastAsia="仿宋_GB2312" w:cs="Times New Roman"/>
          <w:spacing w:val="-23"/>
          <w:sz w:val="32"/>
          <w:szCs w:val="32"/>
          <w:highlight w:val="none"/>
          <w:lang w:val="en-US" w:eastAsia="zh-CN"/>
        </w:rPr>
        <w:t xml:space="preserve">     </w:t>
      </w:r>
      <w:r>
        <w:rPr>
          <w:rFonts w:hint="eastAsia" w:cs="Times New Roman"/>
          <w:spacing w:val="-23"/>
          <w:sz w:val="32"/>
          <w:szCs w:val="32"/>
          <w:highlight w:val="none"/>
          <w:lang w:val="en-US" w:eastAsia="zh-CN"/>
        </w:rPr>
        <w:t xml:space="preserve"> </w:t>
      </w:r>
      <w:r>
        <w:rPr>
          <w:rFonts w:hint="eastAsia" w:eastAsia="仿宋_GB2312" w:cs="Times New Roman"/>
          <w:spacing w:val="-23"/>
          <w:sz w:val="32"/>
          <w:szCs w:val="32"/>
          <w:highlight w:val="none"/>
          <w:lang w:val="en-US" w:eastAsia="zh-CN"/>
        </w:rPr>
        <w:t xml:space="preserve">   陈  勇（市规划和自然资源局余杭分局）</w:t>
      </w:r>
    </w:p>
    <w:p w14:paraId="1F87033E">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548" w:firstLineChars="200"/>
        <w:jc w:val="left"/>
        <w:textAlignment w:val="auto"/>
        <w:outlineLvl w:val="9"/>
        <w:rPr>
          <w:rFonts w:hint="eastAsia" w:eastAsia="仿宋_GB2312" w:cs="Times New Roman"/>
          <w:spacing w:val="-23"/>
          <w:sz w:val="32"/>
          <w:szCs w:val="32"/>
          <w:highlight w:val="none"/>
          <w:lang w:val="en-US" w:eastAsia="zh-CN"/>
        </w:rPr>
      </w:pPr>
      <w:r>
        <w:rPr>
          <w:rFonts w:hint="eastAsia" w:eastAsia="仿宋_GB2312" w:cs="Times New Roman"/>
          <w:spacing w:val="-23"/>
          <w:sz w:val="32"/>
          <w:szCs w:val="32"/>
          <w:highlight w:val="none"/>
          <w:lang w:val="en-US" w:eastAsia="zh-CN"/>
        </w:rPr>
        <w:t xml:space="preserve">    </w:t>
      </w:r>
      <w:r>
        <w:rPr>
          <w:rFonts w:hint="eastAsia" w:cs="Times New Roman"/>
          <w:spacing w:val="-23"/>
          <w:sz w:val="32"/>
          <w:szCs w:val="32"/>
          <w:highlight w:val="none"/>
          <w:lang w:val="en-US" w:eastAsia="zh-CN"/>
        </w:rPr>
        <w:t xml:space="preserve"> </w:t>
      </w:r>
      <w:r>
        <w:rPr>
          <w:rFonts w:hint="eastAsia" w:eastAsia="仿宋_GB2312" w:cs="Times New Roman"/>
          <w:spacing w:val="-23"/>
          <w:sz w:val="32"/>
          <w:szCs w:val="32"/>
          <w:highlight w:val="none"/>
          <w:lang w:val="en-US" w:eastAsia="zh-CN"/>
        </w:rPr>
        <w:t xml:space="preserve">    沈汉平（市生态环境局余杭分局）</w:t>
      </w:r>
    </w:p>
    <w:p w14:paraId="4A075BEB">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548" w:firstLineChars="200"/>
        <w:jc w:val="left"/>
        <w:textAlignment w:val="auto"/>
        <w:outlineLvl w:val="9"/>
        <w:rPr>
          <w:rFonts w:hint="eastAsia" w:eastAsia="仿宋_GB2312" w:cs="Times New Roman"/>
          <w:spacing w:val="-23"/>
          <w:sz w:val="32"/>
          <w:szCs w:val="32"/>
          <w:highlight w:val="none"/>
          <w:lang w:val="en-US" w:eastAsia="zh-CN"/>
        </w:rPr>
      </w:pPr>
      <w:r>
        <w:rPr>
          <w:rFonts w:hint="eastAsia" w:eastAsia="仿宋_GB2312" w:cs="Times New Roman"/>
          <w:spacing w:val="-23"/>
          <w:sz w:val="32"/>
          <w:szCs w:val="32"/>
          <w:highlight w:val="none"/>
          <w:lang w:val="en-US" w:eastAsia="zh-CN"/>
        </w:rPr>
        <w:t xml:space="preserve">     </w:t>
      </w:r>
      <w:r>
        <w:rPr>
          <w:rFonts w:hint="eastAsia" w:cs="Times New Roman"/>
          <w:spacing w:val="-23"/>
          <w:sz w:val="32"/>
          <w:szCs w:val="32"/>
          <w:highlight w:val="none"/>
          <w:lang w:val="en-US" w:eastAsia="zh-CN"/>
        </w:rPr>
        <w:t xml:space="preserve"> </w:t>
      </w:r>
      <w:r>
        <w:rPr>
          <w:rFonts w:hint="eastAsia" w:eastAsia="仿宋_GB2312" w:cs="Times New Roman"/>
          <w:spacing w:val="-23"/>
          <w:sz w:val="32"/>
          <w:szCs w:val="32"/>
          <w:highlight w:val="none"/>
          <w:lang w:val="en-US" w:eastAsia="zh-CN"/>
        </w:rPr>
        <w:t xml:space="preserve">   赵晓军（未来科技城管委会）</w:t>
      </w:r>
    </w:p>
    <w:p w14:paraId="2E6D1177">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548" w:firstLineChars="200"/>
        <w:jc w:val="left"/>
        <w:textAlignment w:val="auto"/>
        <w:outlineLvl w:val="9"/>
        <w:rPr>
          <w:rFonts w:hint="eastAsia" w:eastAsia="仿宋_GB2312" w:cs="Times New Roman"/>
          <w:spacing w:val="-23"/>
          <w:sz w:val="32"/>
          <w:szCs w:val="32"/>
          <w:highlight w:val="none"/>
          <w:lang w:val="en-US" w:eastAsia="zh-CN"/>
        </w:rPr>
      </w:pPr>
      <w:r>
        <w:rPr>
          <w:rFonts w:hint="eastAsia" w:eastAsia="仿宋_GB2312" w:cs="Times New Roman"/>
          <w:spacing w:val="-23"/>
          <w:sz w:val="32"/>
          <w:szCs w:val="32"/>
          <w:highlight w:val="none"/>
          <w:lang w:val="en-US" w:eastAsia="zh-CN"/>
        </w:rPr>
        <w:t xml:space="preserve">      </w:t>
      </w:r>
      <w:r>
        <w:rPr>
          <w:rFonts w:hint="eastAsia" w:cs="Times New Roman"/>
          <w:spacing w:val="-23"/>
          <w:sz w:val="32"/>
          <w:szCs w:val="32"/>
          <w:highlight w:val="none"/>
          <w:lang w:val="en-US" w:eastAsia="zh-CN"/>
        </w:rPr>
        <w:t xml:space="preserve"> </w:t>
      </w:r>
      <w:r>
        <w:rPr>
          <w:rFonts w:hint="eastAsia" w:eastAsia="仿宋_GB2312" w:cs="Times New Roman"/>
          <w:spacing w:val="-23"/>
          <w:sz w:val="32"/>
          <w:szCs w:val="32"/>
          <w:highlight w:val="none"/>
          <w:lang w:val="en-US" w:eastAsia="zh-CN"/>
        </w:rPr>
        <w:t xml:space="preserve">  李飞翔（良渚新城管委会）</w:t>
      </w:r>
    </w:p>
    <w:p w14:paraId="25CBFDB9">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548" w:firstLineChars="200"/>
        <w:jc w:val="left"/>
        <w:textAlignment w:val="auto"/>
        <w:outlineLvl w:val="9"/>
        <w:rPr>
          <w:rFonts w:hint="eastAsia" w:eastAsia="仿宋_GB2312" w:cs="Times New Roman"/>
          <w:spacing w:val="-23"/>
          <w:sz w:val="32"/>
          <w:szCs w:val="32"/>
          <w:highlight w:val="none"/>
          <w:lang w:val="en-US" w:eastAsia="zh-CN"/>
        </w:rPr>
      </w:pPr>
      <w:r>
        <w:rPr>
          <w:rFonts w:hint="eastAsia" w:eastAsia="仿宋_GB2312" w:cs="Times New Roman"/>
          <w:spacing w:val="-23"/>
          <w:sz w:val="32"/>
          <w:szCs w:val="32"/>
          <w:highlight w:val="none"/>
          <w:lang w:val="en-US" w:eastAsia="zh-CN"/>
        </w:rPr>
        <w:t xml:space="preserve">     </w:t>
      </w:r>
      <w:r>
        <w:rPr>
          <w:rFonts w:hint="eastAsia" w:cs="Times New Roman"/>
          <w:spacing w:val="-23"/>
          <w:sz w:val="32"/>
          <w:szCs w:val="32"/>
          <w:highlight w:val="none"/>
          <w:lang w:val="en-US" w:eastAsia="zh-CN"/>
        </w:rPr>
        <w:t xml:space="preserve"> </w:t>
      </w:r>
      <w:r>
        <w:rPr>
          <w:rFonts w:hint="eastAsia" w:eastAsia="仿宋_GB2312" w:cs="Times New Roman"/>
          <w:spacing w:val="-23"/>
          <w:sz w:val="32"/>
          <w:szCs w:val="32"/>
          <w:highlight w:val="none"/>
          <w:lang w:val="en-US" w:eastAsia="zh-CN"/>
        </w:rPr>
        <w:t xml:space="preserve">   陶  奇（钱江经济开发区管委会）</w:t>
      </w:r>
    </w:p>
    <w:p w14:paraId="6DFCC579">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548" w:firstLineChars="200"/>
        <w:jc w:val="left"/>
        <w:textAlignment w:val="auto"/>
        <w:outlineLvl w:val="9"/>
        <w:rPr>
          <w:rFonts w:hint="default" w:eastAsia="黑体"/>
          <w:lang w:val="en-US" w:eastAsia="zh-CN"/>
        </w:rPr>
      </w:pPr>
      <w:r>
        <w:rPr>
          <w:rFonts w:hint="eastAsia" w:eastAsia="仿宋_GB2312" w:cs="Times New Roman"/>
          <w:spacing w:val="-23"/>
          <w:sz w:val="32"/>
          <w:szCs w:val="32"/>
          <w:highlight w:val="none"/>
          <w:lang w:val="en-US" w:eastAsia="zh-CN"/>
        </w:rPr>
        <w:t xml:space="preserve">    领导小组下设办公室，办公室设在区经信局，由姚文华兼任办公室主任，莫虓威、李晓琦兼任办公室副主任，负责领导小组日常工作</w:t>
      </w:r>
      <w:r>
        <w:rPr>
          <w:rFonts w:hint="eastAsia" w:cs="Times New Roman"/>
          <w:spacing w:val="-23"/>
          <w:sz w:val="32"/>
          <w:szCs w:val="32"/>
          <w:highlight w:val="none"/>
          <w:lang w:val="en-US" w:eastAsia="zh-CN"/>
        </w:rPr>
        <w:t>。</w:t>
      </w:r>
    </w:p>
    <w:sectPr>
      <w:headerReference r:id="rId5" w:type="default"/>
      <w:footerReference r:id="rId6" w:type="default"/>
      <w:pgSz w:w="11906" w:h="16838"/>
      <w:pgMar w:top="2098" w:right="1474" w:bottom="1984" w:left="1587" w:header="851" w:footer="992" w:gutter="0"/>
      <w:pgNumType w:fmt="numberInDash"/>
      <w:cols w:space="720" w:num="1"/>
      <w:docGrid w:type="lines" w:linePitch="439"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00007A87" w:usb1="80000000" w:usb2="00000008"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Times New Roman"/>
    <w:panose1 w:val="020F0502020204030204"/>
    <w:charset w:val="00"/>
    <w:family w:val="swiss"/>
    <w:pitch w:val="default"/>
    <w:sig w:usb0="00000000" w:usb1="00000000" w:usb2="00000001" w:usb3="00000000" w:csb0="0000019F" w:csb1="00000000"/>
  </w:font>
  <w:font w:name="仿宋_GB2312">
    <w:panose1 w:val="02010609030101010101"/>
    <w:charset w:val="86"/>
    <w:family w:val="auto"/>
    <w:pitch w:val="default"/>
    <w:sig w:usb0="00000001" w:usb1="080E0000" w:usb2="00000000" w:usb3="00000000" w:csb0="00040000" w:csb1="00000000"/>
  </w:font>
  <w:font w:name="仿宋">
    <w:altName w:val="方正仿宋_GBK"/>
    <w:panose1 w:val="02010609060101010101"/>
    <w:charset w:val="86"/>
    <w:family w:val="auto"/>
    <w:pitch w:val="default"/>
    <w:sig w:usb0="00000000" w:usb1="00000000" w:usb2="00000016" w:usb3="00000000" w:csb0="00040001" w:csb1="00000000"/>
  </w:font>
  <w:font w:name="方正仿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小标宋_GBK">
    <w:panose1 w:val="02000000000000000000"/>
    <w:charset w:val="86"/>
    <w:family w:val="auto"/>
    <w:pitch w:val="default"/>
    <w:sig w:usb0="00000001" w:usb1="0800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楷体">
    <w:altName w:val="方正楷体_GBK"/>
    <w:panose1 w:val="02010609060101010101"/>
    <w:charset w:val="86"/>
    <w:family w:val="auto"/>
    <w:pitch w:val="default"/>
    <w:sig w:usb0="00000000" w:usb1="00000000" w:usb2="00000016" w:usb3="00000000" w:csb0="00040001" w:csb1="00000000"/>
  </w:font>
  <w:font w:name="方正楷体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38B714">
    <w:pPr>
      <w:pStyle w:val="8"/>
    </w:pPr>
    <w:r>
      <w:rPr>
        <w:rFonts w:ascii="Times New Roman" w:hAnsi="Times New Roman" w:eastAsia="仿宋_GB2312" w:cs="Times New Roman"/>
        <w:spacing w:val="-6"/>
        <w:kern w:val="2"/>
        <w:sz w:val="18"/>
        <w:szCs w:val="18"/>
        <w:lang w:val="en-US" w:eastAsia="zh-CN" w:bidi="ar-SA"/>
      </w:rPr>
      <w:pict>
        <v:rect id="文本框 2" o:spid="_x0000_s4097" o:spt="1" style="position:absolute;left:0pt;margin-top:0pt;height:144pt;width:144pt;mso-position-horizontal:inside;mso-position-horizontal-relative:margin;mso-wrap-style:none;z-index:251659264;mso-width-relative:page;mso-height-relative:page;" fillcolor="#FFFFFF" filled="f" o:preferrelative="t" stroked="f" coordsize="21600,21600">
          <v:path/>
          <v:fill on="f" color2="#FFFFFF" focussize="0,0"/>
          <v:stroke on="f"/>
          <v:imagedata gain="65536f" blacklevel="0f" gamma="0" o:title=""/>
          <o:lock v:ext="edit" position="f" selection="f" grouping="f" rotation="f" cropping="f" text="f" aspectratio="f"/>
          <v:textbox inset="0mm,0mm,0mm,0mm" style="mso-fit-shape-to-text:t;">
            <w:txbxContent>
              <w:p w14:paraId="1FA1E8CC">
                <w:pPr>
                  <w:pStyle w:val="8"/>
                  <w:rPr>
                    <w:sz w:val="28"/>
                    <w:szCs w:val="28"/>
                  </w:rPr>
                </w:pPr>
                <w:r>
                  <w:rPr>
                    <w:rFonts w:ascii="宋体" w:hAnsi="宋体" w:eastAsia="宋体"/>
                    <w:sz w:val="28"/>
                    <w:szCs w:val="28"/>
                  </w:rPr>
                  <w:fldChar w:fldCharType="begin"/>
                </w:r>
                <w:r>
                  <w:rPr>
                    <w:rFonts w:ascii="宋体" w:hAnsi="宋体" w:eastAsia="宋体"/>
                    <w:sz w:val="28"/>
                    <w:szCs w:val="28"/>
                  </w:rPr>
                  <w:instrText xml:space="preserve">PAGE   \* MERGEFORMAT</w:instrText>
                </w:r>
                <w:r>
                  <w:rPr>
                    <w:rFonts w:ascii="宋体" w:hAnsi="宋体" w:eastAsia="宋体"/>
                    <w:sz w:val="28"/>
                    <w:szCs w:val="28"/>
                  </w:rPr>
                  <w:fldChar w:fldCharType="separate"/>
                </w:r>
                <w:r>
                  <w:rPr>
                    <w:rFonts w:ascii="宋体" w:hAnsi="宋体" w:eastAsia="宋体"/>
                    <w:sz w:val="28"/>
                    <w:szCs w:val="28"/>
                    <w:lang w:val="zh-CN"/>
                  </w:rPr>
                  <w:t>-</w:t>
                </w:r>
                <w:r>
                  <w:rPr>
                    <w:rFonts w:ascii="宋体" w:hAnsi="宋体" w:eastAsia="宋体"/>
                    <w:sz w:val="28"/>
                    <w:szCs w:val="28"/>
                  </w:rPr>
                  <w:t xml:space="preserve"> 2 -</w:t>
                </w:r>
                <w:r>
                  <w:rPr>
                    <w:rFonts w:ascii="宋体" w:hAnsi="宋体" w:eastAsia="宋体"/>
                    <w:sz w:val="28"/>
                    <w:szCs w:val="28"/>
                  </w:rPr>
                  <w:fldChar w:fldCharType="end"/>
                </w:r>
              </w:p>
            </w:txbxContent>
          </v:textbox>
        </v:rect>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DB45BC"/>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AF262C3"/>
    <w:multiLevelType w:val="multilevel"/>
    <w:tmpl w:val="8AF262C3"/>
    <w:lvl w:ilvl="0" w:tentative="0">
      <w:start w:val="1"/>
      <w:numFmt w:val="decimal"/>
      <w:pStyle w:val="2"/>
      <w:lvlText w:val="%1."/>
      <w:lvlJc w:val="left"/>
      <w:pPr>
        <w:ind w:left="425" w:hanging="425"/>
      </w:pPr>
      <w:rPr>
        <w:rFonts w:hint="default"/>
      </w:rPr>
    </w:lvl>
    <w:lvl w:ilvl="1" w:tentative="0">
      <w:start w:val="1"/>
      <w:numFmt w:val="decimal"/>
      <w:lvlText w:val="%1.%2."/>
      <w:lvlJc w:val="left"/>
      <w:pPr>
        <w:ind w:left="567" w:hanging="567"/>
      </w:pPr>
      <w:rPr>
        <w:rFonts w:hint="default"/>
      </w:rPr>
    </w:lvl>
    <w:lvl w:ilvl="2" w:tentative="0">
      <w:start w:val="1"/>
      <w:numFmt w:val="decimal"/>
      <w:lvlText w:val="%1.%2.%3."/>
      <w:lvlJc w:val="left"/>
      <w:pPr>
        <w:ind w:left="709" w:hanging="709"/>
      </w:pPr>
      <w:rPr>
        <w:rFonts w:hint="default"/>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attachedTemplate r:id="rId1"/>
  <w:documentProtection w:enforcement="0"/>
  <w:defaultTabStop w:val="420"/>
  <w:drawingGridVerticalSpacing w:val="220"/>
  <w:displayHorizontalDrawingGridEvery w:val="1"/>
  <w:displayVerticalDrawingGridEvery w:val="1"/>
  <w:noPunctuationKerning w:val="1"/>
  <w:characterSpacingControl w:val="compressPunctuation"/>
  <w:hdrShapeDefaults>
    <o:shapelayout v:ext="edit">
      <o:idmap v:ext="edit" data="3,4"/>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doNotVertAlignCellWithSp/>
    <w:doNotBreakConstrainedForcedTable/>
    <w:doNotVertAlignInTxbx/>
    <w:useAnsiKerningPairs/>
    <w:cachedColBalance/>
    <w:compatSetting w:name="compatibilityMode" w:uri="http://schemas.microsoft.com/office/word" w:val="12"/>
  </w:compat>
  <w:docVars>
    <w:docVar w:name="commondata" w:val="eyJoZGlkIjoiYTc2ZGZiNzZiNDVlOGViOWVmM2JhOTY0NGJkNjUyYzgifQ=="/>
  </w:docVars>
  <w:rsids>
    <w:rsidRoot w:val="13CF4A5B"/>
    <w:rsid w:val="000C09A2"/>
    <w:rsid w:val="00176975"/>
    <w:rsid w:val="001B2AA4"/>
    <w:rsid w:val="0027271B"/>
    <w:rsid w:val="002840A8"/>
    <w:rsid w:val="0030319C"/>
    <w:rsid w:val="00397699"/>
    <w:rsid w:val="00425D75"/>
    <w:rsid w:val="00440B86"/>
    <w:rsid w:val="006205EB"/>
    <w:rsid w:val="0064465F"/>
    <w:rsid w:val="00661B85"/>
    <w:rsid w:val="006E1E56"/>
    <w:rsid w:val="00707193"/>
    <w:rsid w:val="007C4C64"/>
    <w:rsid w:val="00825C8F"/>
    <w:rsid w:val="008C26A2"/>
    <w:rsid w:val="00913ED6"/>
    <w:rsid w:val="00970471"/>
    <w:rsid w:val="00A0718A"/>
    <w:rsid w:val="00A13591"/>
    <w:rsid w:val="00A3153D"/>
    <w:rsid w:val="00A6531D"/>
    <w:rsid w:val="00A872A7"/>
    <w:rsid w:val="00C3415E"/>
    <w:rsid w:val="00E759AC"/>
    <w:rsid w:val="00E84967"/>
    <w:rsid w:val="010A5041"/>
    <w:rsid w:val="011646D7"/>
    <w:rsid w:val="012E2797"/>
    <w:rsid w:val="012E32E9"/>
    <w:rsid w:val="01A377BE"/>
    <w:rsid w:val="020B5EE9"/>
    <w:rsid w:val="02C55D42"/>
    <w:rsid w:val="02DA783B"/>
    <w:rsid w:val="02F66D66"/>
    <w:rsid w:val="030F2294"/>
    <w:rsid w:val="032121AE"/>
    <w:rsid w:val="038B765F"/>
    <w:rsid w:val="03CE13CD"/>
    <w:rsid w:val="03F17003"/>
    <w:rsid w:val="040A1A0C"/>
    <w:rsid w:val="04590FB1"/>
    <w:rsid w:val="0570657B"/>
    <w:rsid w:val="057D200D"/>
    <w:rsid w:val="0583779A"/>
    <w:rsid w:val="058F1E92"/>
    <w:rsid w:val="05953E7B"/>
    <w:rsid w:val="05E042B0"/>
    <w:rsid w:val="05EA5C4B"/>
    <w:rsid w:val="05FE70E3"/>
    <w:rsid w:val="06110302"/>
    <w:rsid w:val="06F927FE"/>
    <w:rsid w:val="074C4807"/>
    <w:rsid w:val="07583E9D"/>
    <w:rsid w:val="07B354B0"/>
    <w:rsid w:val="07DF17F7"/>
    <w:rsid w:val="09886330"/>
    <w:rsid w:val="0A590C06"/>
    <w:rsid w:val="0A6E312A"/>
    <w:rsid w:val="0A9B4EF3"/>
    <w:rsid w:val="0AA76787"/>
    <w:rsid w:val="0AB2039C"/>
    <w:rsid w:val="0AF7560D"/>
    <w:rsid w:val="0B6C7078"/>
    <w:rsid w:val="0B8F0C83"/>
    <w:rsid w:val="0BA666AA"/>
    <w:rsid w:val="0BBB664F"/>
    <w:rsid w:val="0C3C7EA2"/>
    <w:rsid w:val="0C4A71C3"/>
    <w:rsid w:val="0C884A9F"/>
    <w:rsid w:val="0CC9247C"/>
    <w:rsid w:val="0CD53339"/>
    <w:rsid w:val="0D63646F"/>
    <w:rsid w:val="0D8E0749"/>
    <w:rsid w:val="0DD44283"/>
    <w:rsid w:val="0DDE5050"/>
    <w:rsid w:val="0DF43970"/>
    <w:rsid w:val="0E0D231C"/>
    <w:rsid w:val="0E8F15F0"/>
    <w:rsid w:val="0EA12B90"/>
    <w:rsid w:val="0EE73304"/>
    <w:rsid w:val="0F1572CB"/>
    <w:rsid w:val="0F46589C"/>
    <w:rsid w:val="0FA95801"/>
    <w:rsid w:val="106A7BFD"/>
    <w:rsid w:val="106D491E"/>
    <w:rsid w:val="10AA5163"/>
    <w:rsid w:val="10B35A73"/>
    <w:rsid w:val="11581E04"/>
    <w:rsid w:val="117016A9"/>
    <w:rsid w:val="121C75C3"/>
    <w:rsid w:val="12597428"/>
    <w:rsid w:val="12907582"/>
    <w:rsid w:val="12B40A3B"/>
    <w:rsid w:val="12D250F3"/>
    <w:rsid w:val="12FF0EBB"/>
    <w:rsid w:val="13270D7A"/>
    <w:rsid w:val="134F44BD"/>
    <w:rsid w:val="13511BBE"/>
    <w:rsid w:val="138061FB"/>
    <w:rsid w:val="13CF4A5B"/>
    <w:rsid w:val="150B2B1E"/>
    <w:rsid w:val="157F21D3"/>
    <w:rsid w:val="15B7232D"/>
    <w:rsid w:val="164E5D24"/>
    <w:rsid w:val="169D447B"/>
    <w:rsid w:val="16B40F4B"/>
    <w:rsid w:val="16D62785"/>
    <w:rsid w:val="16E4531E"/>
    <w:rsid w:val="16F0332F"/>
    <w:rsid w:val="174E2146"/>
    <w:rsid w:val="175F13E4"/>
    <w:rsid w:val="17C80E13"/>
    <w:rsid w:val="17E13F3C"/>
    <w:rsid w:val="17F4515B"/>
    <w:rsid w:val="186A7549"/>
    <w:rsid w:val="19097221"/>
    <w:rsid w:val="196C5C41"/>
    <w:rsid w:val="197669C5"/>
    <w:rsid w:val="19C41B53"/>
    <w:rsid w:val="1A7806FD"/>
    <w:rsid w:val="1B3B043B"/>
    <w:rsid w:val="1B773A03"/>
    <w:rsid w:val="1BAD2CF8"/>
    <w:rsid w:val="1BD50639"/>
    <w:rsid w:val="1BE52E52"/>
    <w:rsid w:val="1BEE3761"/>
    <w:rsid w:val="1BF146E6"/>
    <w:rsid w:val="1C0A3092"/>
    <w:rsid w:val="1C746FE9"/>
    <w:rsid w:val="1C8A35E0"/>
    <w:rsid w:val="1CDB5968"/>
    <w:rsid w:val="1D7D76F0"/>
    <w:rsid w:val="1DA453B1"/>
    <w:rsid w:val="1DAD5CC1"/>
    <w:rsid w:val="1DBB4FD6"/>
    <w:rsid w:val="1DC964EA"/>
    <w:rsid w:val="1DD21378"/>
    <w:rsid w:val="1E077654"/>
    <w:rsid w:val="1E171012"/>
    <w:rsid w:val="1E805A1D"/>
    <w:rsid w:val="1EB451EE"/>
    <w:rsid w:val="1EC7098C"/>
    <w:rsid w:val="1EF512AF"/>
    <w:rsid w:val="1F096E77"/>
    <w:rsid w:val="1F2348E4"/>
    <w:rsid w:val="1F81583C"/>
    <w:rsid w:val="1FD35646"/>
    <w:rsid w:val="201A5DBA"/>
    <w:rsid w:val="204D1A8C"/>
    <w:rsid w:val="207C25DC"/>
    <w:rsid w:val="208D5303"/>
    <w:rsid w:val="20916CFE"/>
    <w:rsid w:val="20DB03F7"/>
    <w:rsid w:val="21251770"/>
    <w:rsid w:val="21430D20"/>
    <w:rsid w:val="21A925A0"/>
    <w:rsid w:val="21CB5781"/>
    <w:rsid w:val="21D5280D"/>
    <w:rsid w:val="221F1988"/>
    <w:rsid w:val="224927CC"/>
    <w:rsid w:val="22DC0E41"/>
    <w:rsid w:val="22DD128B"/>
    <w:rsid w:val="23195423"/>
    <w:rsid w:val="23443CE8"/>
    <w:rsid w:val="23813B4D"/>
    <w:rsid w:val="238969DB"/>
    <w:rsid w:val="23E707A8"/>
    <w:rsid w:val="240C3731"/>
    <w:rsid w:val="256A6EF1"/>
    <w:rsid w:val="259E3EC8"/>
    <w:rsid w:val="25B53AED"/>
    <w:rsid w:val="25BE697B"/>
    <w:rsid w:val="26DA25CB"/>
    <w:rsid w:val="26DB004C"/>
    <w:rsid w:val="270E75A2"/>
    <w:rsid w:val="27582E99"/>
    <w:rsid w:val="27634AAD"/>
    <w:rsid w:val="278739E8"/>
    <w:rsid w:val="279C010A"/>
    <w:rsid w:val="27A9199E"/>
    <w:rsid w:val="28341582"/>
    <w:rsid w:val="284D4A27"/>
    <w:rsid w:val="287E2C7B"/>
    <w:rsid w:val="28A563BE"/>
    <w:rsid w:val="28E4390E"/>
    <w:rsid w:val="29237580"/>
    <w:rsid w:val="29315FA2"/>
    <w:rsid w:val="29641C74"/>
    <w:rsid w:val="29C03545"/>
    <w:rsid w:val="29C92C9E"/>
    <w:rsid w:val="2A2A3FBC"/>
    <w:rsid w:val="2A305EC5"/>
    <w:rsid w:val="2AAA7D8D"/>
    <w:rsid w:val="2B797161"/>
    <w:rsid w:val="2C300E8E"/>
    <w:rsid w:val="2C9B4CBA"/>
    <w:rsid w:val="2CBA556F"/>
    <w:rsid w:val="2CCA5809"/>
    <w:rsid w:val="2CFE27E0"/>
    <w:rsid w:val="2D3F104B"/>
    <w:rsid w:val="2D420A4E"/>
    <w:rsid w:val="2D5531EF"/>
    <w:rsid w:val="2D8404BB"/>
    <w:rsid w:val="2EE203F7"/>
    <w:rsid w:val="2F77416E"/>
    <w:rsid w:val="301C3A83"/>
    <w:rsid w:val="30226805"/>
    <w:rsid w:val="30727889"/>
    <w:rsid w:val="308455A5"/>
    <w:rsid w:val="30B8257C"/>
    <w:rsid w:val="30C0540A"/>
    <w:rsid w:val="30F46B5D"/>
    <w:rsid w:val="31113F0F"/>
    <w:rsid w:val="311F107A"/>
    <w:rsid w:val="31930FE5"/>
    <w:rsid w:val="321005AF"/>
    <w:rsid w:val="32B77AC3"/>
    <w:rsid w:val="32E16709"/>
    <w:rsid w:val="33A5774B"/>
    <w:rsid w:val="33AA3BD3"/>
    <w:rsid w:val="3425351D"/>
    <w:rsid w:val="34653426"/>
    <w:rsid w:val="35C032BE"/>
    <w:rsid w:val="363A5186"/>
    <w:rsid w:val="36771768"/>
    <w:rsid w:val="36B02BC6"/>
    <w:rsid w:val="36CD2176"/>
    <w:rsid w:val="36CE7BF8"/>
    <w:rsid w:val="36D10B7D"/>
    <w:rsid w:val="374B0855"/>
    <w:rsid w:val="37BA741C"/>
    <w:rsid w:val="38701298"/>
    <w:rsid w:val="38866F49"/>
    <w:rsid w:val="389346E8"/>
    <w:rsid w:val="38FD240B"/>
    <w:rsid w:val="3941547E"/>
    <w:rsid w:val="39430981"/>
    <w:rsid w:val="394F4CB9"/>
    <w:rsid w:val="39594D23"/>
    <w:rsid w:val="39BE4A47"/>
    <w:rsid w:val="39E5018A"/>
    <w:rsid w:val="39F75EA6"/>
    <w:rsid w:val="3A2F1883"/>
    <w:rsid w:val="3A7F2907"/>
    <w:rsid w:val="3A856A0F"/>
    <w:rsid w:val="3B246918"/>
    <w:rsid w:val="3B341131"/>
    <w:rsid w:val="3B3B0ABC"/>
    <w:rsid w:val="3B6C6D0D"/>
    <w:rsid w:val="3B705713"/>
    <w:rsid w:val="3B9D864A"/>
    <w:rsid w:val="3BA526EA"/>
    <w:rsid w:val="3BB75E87"/>
    <w:rsid w:val="3CA75790"/>
    <w:rsid w:val="3CAD511A"/>
    <w:rsid w:val="3CBE3610"/>
    <w:rsid w:val="3CFD6419"/>
    <w:rsid w:val="3D114E3F"/>
    <w:rsid w:val="3D217658"/>
    <w:rsid w:val="3D6E7757"/>
    <w:rsid w:val="3D891605"/>
    <w:rsid w:val="3D8C0FA3"/>
    <w:rsid w:val="3DE27716"/>
    <w:rsid w:val="3E076650"/>
    <w:rsid w:val="3EE257E3"/>
    <w:rsid w:val="3F266AA8"/>
    <w:rsid w:val="3F39424B"/>
    <w:rsid w:val="3F4C3465"/>
    <w:rsid w:val="3F996DE7"/>
    <w:rsid w:val="3FAF4A0F"/>
    <w:rsid w:val="3FD76255"/>
    <w:rsid w:val="4028209C"/>
    <w:rsid w:val="403B0B6F"/>
    <w:rsid w:val="407057C5"/>
    <w:rsid w:val="40D31FE7"/>
    <w:rsid w:val="40D91972"/>
    <w:rsid w:val="40EA548F"/>
    <w:rsid w:val="4106153C"/>
    <w:rsid w:val="41415E9E"/>
    <w:rsid w:val="41582240"/>
    <w:rsid w:val="41585AC3"/>
    <w:rsid w:val="417732FD"/>
    <w:rsid w:val="418B1795"/>
    <w:rsid w:val="419A7831"/>
    <w:rsid w:val="41FD2D78"/>
    <w:rsid w:val="42014C57"/>
    <w:rsid w:val="427F3327"/>
    <w:rsid w:val="42E06844"/>
    <w:rsid w:val="43904469"/>
    <w:rsid w:val="44EE43A5"/>
    <w:rsid w:val="450F48DA"/>
    <w:rsid w:val="45287A02"/>
    <w:rsid w:val="45341296"/>
    <w:rsid w:val="45BD3779"/>
    <w:rsid w:val="45E35BB7"/>
    <w:rsid w:val="469446D6"/>
    <w:rsid w:val="47411377"/>
    <w:rsid w:val="479154DB"/>
    <w:rsid w:val="484B5EE9"/>
    <w:rsid w:val="48A4573B"/>
    <w:rsid w:val="48AC05C9"/>
    <w:rsid w:val="48CB5FE9"/>
    <w:rsid w:val="494B4C4F"/>
    <w:rsid w:val="49647D77"/>
    <w:rsid w:val="49B642FE"/>
    <w:rsid w:val="49D203AB"/>
    <w:rsid w:val="4A0266FB"/>
    <w:rsid w:val="4A1E71A6"/>
    <w:rsid w:val="4A283338"/>
    <w:rsid w:val="4A7543EC"/>
    <w:rsid w:val="4AEA4965"/>
    <w:rsid w:val="4B234855"/>
    <w:rsid w:val="4B8A76FC"/>
    <w:rsid w:val="4BB42ABF"/>
    <w:rsid w:val="4BB949C8"/>
    <w:rsid w:val="4C13635C"/>
    <w:rsid w:val="4C205671"/>
    <w:rsid w:val="4C451D80"/>
    <w:rsid w:val="4C683867"/>
    <w:rsid w:val="4C6A6D6A"/>
    <w:rsid w:val="4C6C5AF1"/>
    <w:rsid w:val="4C824411"/>
    <w:rsid w:val="4D3806BD"/>
    <w:rsid w:val="4D472ED5"/>
    <w:rsid w:val="4D5A44FE"/>
    <w:rsid w:val="4D86148A"/>
    <w:rsid w:val="4D8B5F48"/>
    <w:rsid w:val="4E3A6FE6"/>
    <w:rsid w:val="4E3E59EC"/>
    <w:rsid w:val="4E4C4D02"/>
    <w:rsid w:val="4E4F3708"/>
    <w:rsid w:val="4EBF1993"/>
    <w:rsid w:val="4ECC4356"/>
    <w:rsid w:val="4ECD1DD8"/>
    <w:rsid w:val="4F331D42"/>
    <w:rsid w:val="4F354C7F"/>
    <w:rsid w:val="4F531CB1"/>
    <w:rsid w:val="50166C7E"/>
    <w:rsid w:val="503500A5"/>
    <w:rsid w:val="50645371"/>
    <w:rsid w:val="512E02BD"/>
    <w:rsid w:val="51320F1C"/>
    <w:rsid w:val="513534CB"/>
    <w:rsid w:val="51517578"/>
    <w:rsid w:val="515B5F77"/>
    <w:rsid w:val="51A92185"/>
    <w:rsid w:val="51AC0B8B"/>
    <w:rsid w:val="51AC698D"/>
    <w:rsid w:val="52044E1D"/>
    <w:rsid w:val="526F1F4E"/>
    <w:rsid w:val="52E80913"/>
    <w:rsid w:val="52EE029E"/>
    <w:rsid w:val="52FB1B32"/>
    <w:rsid w:val="53A0483E"/>
    <w:rsid w:val="54005B5D"/>
    <w:rsid w:val="54203E93"/>
    <w:rsid w:val="543F437D"/>
    <w:rsid w:val="55334C55"/>
    <w:rsid w:val="557669C3"/>
    <w:rsid w:val="55AD491E"/>
    <w:rsid w:val="55B80731"/>
    <w:rsid w:val="55DF2B6F"/>
    <w:rsid w:val="56122A69"/>
    <w:rsid w:val="561577C6"/>
    <w:rsid w:val="566135CB"/>
    <w:rsid w:val="567658D6"/>
    <w:rsid w:val="56D75305"/>
    <w:rsid w:val="56EB3FA6"/>
    <w:rsid w:val="57720D87"/>
    <w:rsid w:val="57782C90"/>
    <w:rsid w:val="577A3C15"/>
    <w:rsid w:val="577FBEA0"/>
    <w:rsid w:val="57805B1E"/>
    <w:rsid w:val="578F28B6"/>
    <w:rsid w:val="57AC1E66"/>
    <w:rsid w:val="57E41FC0"/>
    <w:rsid w:val="58530075"/>
    <w:rsid w:val="58595802"/>
    <w:rsid w:val="587F83B4"/>
    <w:rsid w:val="58CD1F3D"/>
    <w:rsid w:val="59766ED3"/>
    <w:rsid w:val="59C8345A"/>
    <w:rsid w:val="59F55223"/>
    <w:rsid w:val="5A1F18EA"/>
    <w:rsid w:val="5AA340C2"/>
    <w:rsid w:val="5B3175C5"/>
    <w:rsid w:val="5B6D158C"/>
    <w:rsid w:val="5B7831A0"/>
    <w:rsid w:val="5B833730"/>
    <w:rsid w:val="5BBB710D"/>
    <w:rsid w:val="5BF13D64"/>
    <w:rsid w:val="5C6617A4"/>
    <w:rsid w:val="5C7D7624"/>
    <w:rsid w:val="5CC167FF"/>
    <w:rsid w:val="5CCF11D3"/>
    <w:rsid w:val="5D4F4FA5"/>
    <w:rsid w:val="5E91523C"/>
    <w:rsid w:val="5F5871F8"/>
    <w:rsid w:val="5F9573DD"/>
    <w:rsid w:val="5FDC33D5"/>
    <w:rsid w:val="5FEC366F"/>
    <w:rsid w:val="600E1625"/>
    <w:rsid w:val="60441AFF"/>
    <w:rsid w:val="60450470"/>
    <w:rsid w:val="60C458D1"/>
    <w:rsid w:val="612F717E"/>
    <w:rsid w:val="6160574F"/>
    <w:rsid w:val="616F37EB"/>
    <w:rsid w:val="619117A1"/>
    <w:rsid w:val="61DC2B1A"/>
    <w:rsid w:val="62024F58"/>
    <w:rsid w:val="62292C19"/>
    <w:rsid w:val="622C3B9E"/>
    <w:rsid w:val="62911344"/>
    <w:rsid w:val="62D1369C"/>
    <w:rsid w:val="63752C3C"/>
    <w:rsid w:val="639E5FFE"/>
    <w:rsid w:val="63C274B8"/>
    <w:rsid w:val="63DA25E0"/>
    <w:rsid w:val="63F7410E"/>
    <w:rsid w:val="640B0BB1"/>
    <w:rsid w:val="64135FBD"/>
    <w:rsid w:val="64367476"/>
    <w:rsid w:val="643861FD"/>
    <w:rsid w:val="64900E0A"/>
    <w:rsid w:val="64A742B2"/>
    <w:rsid w:val="650F29DD"/>
    <w:rsid w:val="655C7259"/>
    <w:rsid w:val="657C1D0C"/>
    <w:rsid w:val="65A663D3"/>
    <w:rsid w:val="65E40437"/>
    <w:rsid w:val="668B794B"/>
    <w:rsid w:val="66BC7EDF"/>
    <w:rsid w:val="67172DB2"/>
    <w:rsid w:val="67410373"/>
    <w:rsid w:val="674C7EE6"/>
    <w:rsid w:val="675D7CA3"/>
    <w:rsid w:val="67C87352"/>
    <w:rsid w:val="68906229"/>
    <w:rsid w:val="68AA1EC4"/>
    <w:rsid w:val="68BD6966"/>
    <w:rsid w:val="69033857"/>
    <w:rsid w:val="69354480"/>
    <w:rsid w:val="69490748"/>
    <w:rsid w:val="699F36D5"/>
    <w:rsid w:val="69A74365"/>
    <w:rsid w:val="69B76B7E"/>
    <w:rsid w:val="6A11270F"/>
    <w:rsid w:val="6A6D2E29"/>
    <w:rsid w:val="6B105EB6"/>
    <w:rsid w:val="6B32606A"/>
    <w:rsid w:val="6B426304"/>
    <w:rsid w:val="6B457289"/>
    <w:rsid w:val="6B7C51E5"/>
    <w:rsid w:val="6B832C02"/>
    <w:rsid w:val="6C0D6CD2"/>
    <w:rsid w:val="6CC65AB7"/>
    <w:rsid w:val="6D535020"/>
    <w:rsid w:val="6D5EB8B8"/>
    <w:rsid w:val="6D640908"/>
    <w:rsid w:val="6D6C5D15"/>
    <w:rsid w:val="6D8B07C8"/>
    <w:rsid w:val="6DDF9E93"/>
    <w:rsid w:val="6DFF674D"/>
    <w:rsid w:val="6E091096"/>
    <w:rsid w:val="6EAA06CB"/>
    <w:rsid w:val="6F1005C4"/>
    <w:rsid w:val="6F223D61"/>
    <w:rsid w:val="6F734DE5"/>
    <w:rsid w:val="6F871C25"/>
    <w:rsid w:val="708539A9"/>
    <w:rsid w:val="70C60FC4"/>
    <w:rsid w:val="71CE71C3"/>
    <w:rsid w:val="72095D23"/>
    <w:rsid w:val="722175EE"/>
    <w:rsid w:val="723B77F7"/>
    <w:rsid w:val="72923A89"/>
    <w:rsid w:val="72AC0DAF"/>
    <w:rsid w:val="72B729C4"/>
    <w:rsid w:val="72B84BC2"/>
    <w:rsid w:val="72D02269"/>
    <w:rsid w:val="731E7DE9"/>
    <w:rsid w:val="73674D66"/>
    <w:rsid w:val="73DC14A1"/>
    <w:rsid w:val="73E54B97"/>
    <w:rsid w:val="74400A51"/>
    <w:rsid w:val="7445564D"/>
    <w:rsid w:val="74AB0875"/>
    <w:rsid w:val="74CF77B0"/>
    <w:rsid w:val="75795A4A"/>
    <w:rsid w:val="75910B5C"/>
    <w:rsid w:val="75B15BA4"/>
    <w:rsid w:val="75DC77E5"/>
    <w:rsid w:val="75F60897"/>
    <w:rsid w:val="761A4F83"/>
    <w:rsid w:val="76606C42"/>
    <w:rsid w:val="76970420"/>
    <w:rsid w:val="76A72C39"/>
    <w:rsid w:val="76AA163F"/>
    <w:rsid w:val="76B52BD7"/>
    <w:rsid w:val="76B65452"/>
    <w:rsid w:val="76B6E9DE"/>
    <w:rsid w:val="76DE2D93"/>
    <w:rsid w:val="77392027"/>
    <w:rsid w:val="775A51D9"/>
    <w:rsid w:val="77795190"/>
    <w:rsid w:val="778744A6"/>
    <w:rsid w:val="77F798B8"/>
    <w:rsid w:val="77FC4E81"/>
    <w:rsid w:val="785173F2"/>
    <w:rsid w:val="78656092"/>
    <w:rsid w:val="78B26191"/>
    <w:rsid w:val="792719D3"/>
    <w:rsid w:val="7949798A"/>
    <w:rsid w:val="797B75DD"/>
    <w:rsid w:val="798E267C"/>
    <w:rsid w:val="7A3A0F9D"/>
    <w:rsid w:val="7A3A2795"/>
    <w:rsid w:val="7A581D45"/>
    <w:rsid w:val="7A8E221F"/>
    <w:rsid w:val="7AC00470"/>
    <w:rsid w:val="7B0D6371"/>
    <w:rsid w:val="7B215323"/>
    <w:rsid w:val="7B8F5645"/>
    <w:rsid w:val="7BE75CD4"/>
    <w:rsid w:val="7BF662EE"/>
    <w:rsid w:val="7C580A1E"/>
    <w:rsid w:val="7C8A0D60"/>
    <w:rsid w:val="7CAF7D4B"/>
    <w:rsid w:val="7CB805AB"/>
    <w:rsid w:val="7CF23589"/>
    <w:rsid w:val="7CFD3287"/>
    <w:rsid w:val="7D975A1A"/>
    <w:rsid w:val="7DC6656A"/>
    <w:rsid w:val="7E2120FB"/>
    <w:rsid w:val="7E2D7213"/>
    <w:rsid w:val="7EBA0FF5"/>
    <w:rsid w:val="7EC31904"/>
    <w:rsid w:val="7F525CF0"/>
    <w:rsid w:val="7F5A6980"/>
    <w:rsid w:val="9FCEF9ED"/>
    <w:rsid w:val="BB3FF321"/>
    <w:rsid w:val="BFFB1AA9"/>
    <w:rsid w:val="D58F06EB"/>
    <w:rsid w:val="DDFF36D5"/>
    <w:rsid w:val="E7DBF08B"/>
    <w:rsid w:val="EDE930DF"/>
    <w:rsid w:val="F7FF7269"/>
    <w:rsid w:val="FAEFB2B1"/>
    <w:rsid w:val="FDCF09BA"/>
    <w:rsid w:val="FFD67624"/>
    <w:rsid w:val="FFFF8C23"/>
  </w:rsids>
  <m:mathPr>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iPriority="99"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3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240" w:lineRule="atLeast"/>
      <w:jc w:val="both"/>
    </w:pPr>
    <w:rPr>
      <w:rFonts w:ascii="Times New Roman" w:hAnsi="Times New Roman" w:eastAsia="仿宋_GB2312" w:cs="Times New Roman"/>
      <w:spacing w:val="-6"/>
      <w:kern w:val="2"/>
      <w:sz w:val="32"/>
      <w:lang w:val="en-US" w:eastAsia="zh-CN" w:bidi="ar-SA"/>
    </w:rPr>
  </w:style>
  <w:style w:type="paragraph" w:styleId="2">
    <w:name w:val="heading 1"/>
    <w:basedOn w:val="1"/>
    <w:next w:val="1"/>
    <w:qFormat/>
    <w:uiPriority w:val="9"/>
    <w:pPr>
      <w:keepNext/>
      <w:keepLines/>
      <w:numPr>
        <w:ilvl w:val="0"/>
        <w:numId w:val="1"/>
      </w:numPr>
      <w:spacing w:line="600" w:lineRule="exact"/>
      <w:ind w:left="0" w:firstLine="883" w:firstLineChars="200"/>
      <w:jc w:val="left"/>
      <w:outlineLvl w:val="0"/>
    </w:pPr>
    <w:rPr>
      <w:rFonts w:eastAsia="黑体"/>
      <w:b/>
      <w:bCs/>
      <w:kern w:val="44"/>
      <w:szCs w:val="44"/>
    </w:rPr>
  </w:style>
  <w:style w:type="character" w:default="1" w:styleId="15">
    <w:name w:val="Default Paragraph Font"/>
    <w:unhideWhenUsed/>
    <w:qFormat/>
    <w:uiPriority w:val="1"/>
  </w:style>
  <w:style w:type="table" w:default="1" w:styleId="13">
    <w:name w:val="Normal Table"/>
    <w:unhideWhenUsed/>
    <w:qFormat/>
    <w:uiPriority w:val="99"/>
    <w:tblPr>
      <w:tblCellMar>
        <w:top w:w="0" w:type="dxa"/>
        <w:left w:w="108" w:type="dxa"/>
        <w:bottom w:w="0" w:type="dxa"/>
        <w:right w:w="108" w:type="dxa"/>
      </w:tblCellMar>
    </w:tblPr>
  </w:style>
  <w:style w:type="paragraph" w:styleId="3">
    <w:name w:val="Normal Indent"/>
    <w:basedOn w:val="1"/>
    <w:qFormat/>
    <w:uiPriority w:val="0"/>
    <w:pPr>
      <w:ind w:firstLine="420" w:firstLineChars="200"/>
    </w:pPr>
    <w:rPr>
      <w:rFonts w:eastAsia="仿宋"/>
    </w:rPr>
  </w:style>
  <w:style w:type="paragraph" w:styleId="4">
    <w:name w:val="annotation text"/>
    <w:basedOn w:val="1"/>
    <w:unhideWhenUsed/>
    <w:qFormat/>
    <w:uiPriority w:val="99"/>
    <w:pPr>
      <w:jc w:val="left"/>
    </w:pPr>
  </w:style>
  <w:style w:type="paragraph" w:styleId="5">
    <w:name w:val="Body Text"/>
    <w:basedOn w:val="1"/>
    <w:qFormat/>
    <w:uiPriority w:val="0"/>
    <w:pPr>
      <w:spacing w:line="580" w:lineRule="exact"/>
      <w:ind w:firstLine="720" w:firstLineChars="200"/>
    </w:pPr>
    <w:rPr>
      <w:rFonts w:ascii="仿宋_GB2312" w:hAnsi="仿宋_GB2312" w:cs="仿宋_GB2312"/>
    </w:rPr>
  </w:style>
  <w:style w:type="paragraph" w:styleId="6">
    <w:name w:val="Body Text Indent"/>
    <w:basedOn w:val="1"/>
    <w:qFormat/>
    <w:uiPriority w:val="0"/>
    <w:pPr>
      <w:ind w:firstLine="640" w:firstLineChars="200"/>
    </w:pPr>
    <w:rPr>
      <w:rFonts w:ascii="仿宋_GB2312" w:hAnsi="宋体"/>
    </w:rPr>
  </w:style>
  <w:style w:type="paragraph" w:styleId="7">
    <w:name w:val="Plain Text"/>
    <w:basedOn w:val="1"/>
    <w:qFormat/>
    <w:uiPriority w:val="0"/>
    <w:rPr>
      <w:rFonts w:hint="eastAsia" w:ascii="宋体" w:hAnsi="Courier New" w:eastAsia="宋体"/>
      <w:sz w:val="21"/>
      <w:szCs w:val="21"/>
    </w:rPr>
  </w:style>
  <w:style w:type="paragraph" w:styleId="8">
    <w:name w:val="footer"/>
    <w:basedOn w:val="1"/>
    <w:qFormat/>
    <w:uiPriority w:val="0"/>
    <w:pPr>
      <w:tabs>
        <w:tab w:val="center" w:pos="4153"/>
        <w:tab w:val="right" w:pos="8306"/>
      </w:tabs>
      <w:snapToGrid w:val="0"/>
      <w:jc w:val="left"/>
    </w:pPr>
    <w:rPr>
      <w:sz w:val="18"/>
      <w:szCs w:val="18"/>
    </w:rPr>
  </w:style>
  <w:style w:type="paragraph" w:styleId="9">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0">
    <w:name w:val="Normal (Web)"/>
    <w:basedOn w:val="1"/>
    <w:qFormat/>
    <w:uiPriority w:val="0"/>
    <w:pPr>
      <w:spacing w:beforeAutospacing="1" w:afterAutospacing="1"/>
      <w:jc w:val="left"/>
    </w:pPr>
    <w:rPr>
      <w:kern w:val="0"/>
      <w:sz w:val="24"/>
    </w:rPr>
  </w:style>
  <w:style w:type="paragraph" w:styleId="11">
    <w:name w:val="Body Text First Indent"/>
    <w:basedOn w:val="5"/>
    <w:qFormat/>
    <w:uiPriority w:val="0"/>
    <w:pPr>
      <w:autoSpaceDE w:val="0"/>
      <w:autoSpaceDN w:val="0"/>
      <w:adjustRightInd w:val="0"/>
      <w:spacing w:line="600" w:lineRule="atLeast"/>
      <w:ind w:firstLine="652"/>
      <w:textAlignment w:val="baseline"/>
    </w:pPr>
    <w:rPr>
      <w:rFonts w:cs="黑体"/>
      <w:szCs w:val="32"/>
    </w:rPr>
  </w:style>
  <w:style w:type="paragraph" w:styleId="12">
    <w:name w:val="Body Text First Indent 2"/>
    <w:basedOn w:val="6"/>
    <w:next w:val="11"/>
    <w:qFormat/>
    <w:uiPriority w:val="0"/>
    <w:pPr>
      <w:ind w:firstLine="420"/>
    </w:pPr>
  </w:style>
  <w:style w:type="table" w:styleId="14">
    <w:name w:val="Table Grid"/>
    <w:basedOn w:val="13"/>
    <w:qFormat/>
    <w:uiPriority w:val="3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16">
    <w:name w:val="Strong"/>
    <w:basedOn w:val="15"/>
    <w:qFormat/>
    <w:uiPriority w:val="0"/>
    <w:rPr>
      <w:b/>
      <w:bCs/>
    </w:rPr>
  </w:style>
  <w:style w:type="character" w:styleId="17">
    <w:name w:val="page number"/>
    <w:basedOn w:val="15"/>
    <w:qFormat/>
    <w:uiPriority w:val="0"/>
  </w:style>
  <w:style w:type="paragraph" w:customStyle="1" w:styleId="18">
    <w:name w:val="_Style 4"/>
    <w:basedOn w:val="1"/>
    <w:qFormat/>
    <w:uiPriority w:val="0"/>
  </w:style>
  <w:style w:type="paragraph" w:customStyle="1" w:styleId="19">
    <w:name w:val="正文01"/>
    <w:basedOn w:val="1"/>
    <w:qFormat/>
    <w:uiPriority w:val="0"/>
    <w:pPr>
      <w:spacing w:line="560" w:lineRule="exact"/>
      <w:ind w:firstLine="200" w:firstLineChars="200"/>
    </w:pPr>
    <w:rPr>
      <w:rFonts w:ascii="Calibri" w:hAnsi="Calibri"/>
      <w:spacing w:val="0"/>
      <w:szCs w:val="32"/>
    </w:rPr>
  </w:style>
  <w:style w:type="paragraph" w:customStyle="1" w:styleId="20">
    <w:name w:val="正文缩进1"/>
    <w:basedOn w:val="1"/>
    <w:qFormat/>
    <w:uiPriority w:val="0"/>
    <w:pPr>
      <w:widowControl/>
      <w:spacing w:line="240" w:lineRule="auto"/>
      <w:ind w:firstLine="420" w:firstLineChars="200"/>
      <w:jc w:val="left"/>
    </w:pPr>
    <w:rPr>
      <w:rFonts w:eastAsia="宋体"/>
      <w:spacing w:val="0"/>
      <w:kern w:val="0"/>
      <w:sz w:val="20"/>
    </w:rPr>
  </w:style>
  <w:style w:type="paragraph" w:customStyle="1" w:styleId="21">
    <w:name w:val="Other|1"/>
    <w:basedOn w:val="1"/>
    <w:qFormat/>
    <w:uiPriority w:val="0"/>
    <w:pPr>
      <w:spacing w:line="360" w:lineRule="exact"/>
    </w:pPr>
    <w:rPr>
      <w:rFonts w:ascii="宋体" w:hAnsi="宋体" w:eastAsia="宋体" w:cs="宋体"/>
      <w:sz w:val="22"/>
      <w:szCs w:val="22"/>
      <w:lang w:val="zh-TW" w:eastAsia="zh-TW" w:bidi="zh-TW"/>
    </w:rPr>
  </w:style>
  <w:style w:type="paragraph" w:customStyle="1" w:styleId="22">
    <w:name w:val="Body text|2"/>
    <w:basedOn w:val="1"/>
    <w:qFormat/>
    <w:uiPriority w:val="0"/>
    <w:pPr>
      <w:spacing w:line="682" w:lineRule="exact"/>
      <w:jc w:val="center"/>
    </w:pPr>
    <w:rPr>
      <w:rFonts w:ascii="宋体" w:hAnsi="宋体" w:eastAsia="宋体" w:cs="宋体"/>
      <w:sz w:val="44"/>
      <w:szCs w:val="44"/>
      <w:lang w:val="zh-TW" w:eastAsia="zh-TW" w:bidi="zh-TW"/>
    </w:rPr>
  </w:style>
  <w:style w:type="character" w:customStyle="1" w:styleId="23">
    <w:name w:val="NormalCharacter"/>
    <w:qFormat/>
    <w:uiPriority w:val="0"/>
    <w:rPr>
      <w:rFonts w:ascii="Times New Roman" w:hAnsi="Times New Roman" w:eastAsia="宋体" w:cs="Times New Roman"/>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home/jxj/E:\data\weboffice\C:\Users\Administrator\AppData\Roaming\Kingsoft\wps\addons\pool\win-i386\knewfileruby_1.0.0.12\template\wps\0.d"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409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13</Pages>
  <Words>808</Words>
  <Characters>4607</Characters>
  <Lines>38</Lines>
  <Paragraphs>10</Paragraphs>
  <TotalTime>9</TotalTime>
  <ScaleCrop>false</ScaleCrop>
  <LinksUpToDate>false</LinksUpToDate>
  <CharactersWithSpaces>0</CharactersWithSpaces>
  <Application>WPS Office_12.8.2.1119_F1E327BC-269C-435d-A152-05C5408002CA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2018-10-14T00:10:00Z</dcterms:created>
  <dc:creator>Administrator</dc:creator>
  <cp:lastModifiedBy>mhj</cp:lastModifiedBy>
  <cp:lastPrinted>2024-03-30T17:47:00Z</cp:lastPrinted>
  <dcterms:modified xsi:type="dcterms:W3CDTF">2025-07-02T11:35:37Z</dcterms:modified>
  <dc:title>中共杭州市余杭区委常务委员会</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2052-12.8.2.1119</vt:lpwstr>
  </property>
  <property fmtid="{D5CDD505-2E9C-101B-9397-08002B2CF9AE}" pid="3" name="ICV">
    <vt:lpwstr>D750A8C9630E45CCA09662F573C8D81A</vt:lpwstr>
  </property>
</Properties>
</file>