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 w:val="0"/>
        <w:adjustRightInd/>
        <w:snapToGrid/>
        <w:spacing w:line="550" w:lineRule="exact"/>
        <w:ind w:left="0" w:leftChars="0" w:right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方正小标宋_GBK"/>
          <w:color w:val="auto"/>
          <w:sz w:val="44"/>
          <w:szCs w:val="44"/>
          <w:highlight w:val="none"/>
        </w:rPr>
        <w:t>杭州市余杭区良渚街道办事处2024</w:t>
      </w:r>
      <w:r>
        <w:rPr>
          <w:rFonts w:hint="eastAsia" w:ascii="Times New Roman" w:hAnsi="Times New Roman" w:eastAsia="方正小标宋_GBK" w:cs="方正小标宋_GBK"/>
          <w:color w:val="auto"/>
          <w:sz w:val="44"/>
          <w:szCs w:val="44"/>
          <w:highlight w:val="none"/>
        </w:rPr>
        <w:t>年度政府信息公开工作</w:t>
      </w:r>
      <w:r>
        <w:rPr>
          <w:rFonts w:hint="default" w:ascii="Times New Roman" w:hAnsi="Times New Roman" w:eastAsia="方正小标宋_GBK" w:cs="方正小标宋_GBK"/>
          <w:color w:val="auto"/>
          <w:sz w:val="44"/>
          <w:szCs w:val="44"/>
          <w:highlight w:val="none"/>
        </w:rPr>
        <w:t>年度</w:t>
      </w:r>
      <w:r>
        <w:rPr>
          <w:rFonts w:hint="eastAsia" w:ascii="Times New Roman" w:hAnsi="Times New Roman" w:eastAsia="方正小标宋_GBK" w:cs="方正小标宋_GBK"/>
          <w:color w:val="auto"/>
          <w:sz w:val="44"/>
          <w:szCs w:val="44"/>
          <w:highlight w:val="none"/>
        </w:rPr>
        <w:t>报告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highlight w:val="none"/>
        </w:rPr>
      </w:pPr>
    </w:p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一、总体情况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方正仿宋_GBK"/>
          <w:color w:val="auto"/>
          <w:sz w:val="32"/>
          <w:szCs w:val="32"/>
          <w:highlight w:val="none"/>
          <w:lang w:val="en-US" w:eastAsia="zh-CN"/>
        </w:rPr>
        <w:t>2024年，良渚街道在区委区政府的正确领导下，认真贯彻落实《中华人民共和国政府信息公开条例》及《关于政府信息公开工作年度报告有关事项的通知》（国办公开办函〔2021〕30号）的要求，主动作为，扎实推进政府信息公开工作，切实保障人民群众的知情权、参与权、监督权和表达权。本报告所列数据的统计期限自2024年1月1日起至2024年12月31日止。如对本报告有任何疑问，请与党政综合办公室联系（地址：杭州市余杭区良渚街道莫干山路2666号，邮编：311113，电话：0571-</w:t>
      </w:r>
      <w:r>
        <w:rPr>
          <w:rFonts w:hint="default" w:ascii="Times New Roman" w:hAnsi="Times New Roman" w:eastAsia="仿宋_GB2312" w:cs="方正仿宋_GBK"/>
          <w:color w:val="auto"/>
          <w:sz w:val="32"/>
          <w:szCs w:val="32"/>
          <w:highlight w:val="none"/>
          <w:lang w:eastAsia="zh-CN"/>
        </w:rPr>
        <w:t>88772939</w:t>
      </w:r>
      <w:r>
        <w:rPr>
          <w:rFonts w:hint="eastAsia" w:ascii="Times New Roman" w:hAnsi="Times New Roman" w:eastAsia="仿宋_GB2312" w:cs="方正仿宋_GBK"/>
          <w:color w:val="auto"/>
          <w:sz w:val="32"/>
          <w:szCs w:val="32"/>
          <w:highlight w:val="none"/>
          <w:lang w:val="en-US" w:eastAsia="zh-CN"/>
        </w:rPr>
        <w:t>,传真：0571-86207111）。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line="620" w:lineRule="exact"/>
        <w:ind w:left="-10" w:leftChars="0" w:firstLine="64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主动公开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通过余杭区门户网站、微信公众号等多种渠道，及时发布各类政府信息，涵盖政策文件、工作动态、财政资金、民生保障、公共服务等领域。2024年累计主动公开各类政府信息</w:t>
      </w:r>
      <w:r>
        <w:rPr>
          <w:rFonts w:hint="default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eastAsia="zh-CN" w:bidi="ar-SA"/>
        </w:rPr>
        <w:t>1161</w:t>
      </w: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条，</w:t>
      </w:r>
      <w:r>
        <w:rPr>
          <w:rFonts w:hint="default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eastAsia="zh-CN" w:bidi="ar-SA"/>
        </w:rPr>
        <w:t>其中通过</w:t>
      </w: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eastAsia="zh-CN" w:bidi="ar-SA"/>
        </w:rPr>
        <w:t>政府</w:t>
      </w:r>
      <w:r>
        <w:rPr>
          <w:rFonts w:hint="default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eastAsia="zh-CN" w:bidi="ar-SA"/>
        </w:rPr>
        <w:t>信息公开平台公开信息19条，通过</w:t>
      </w: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“良渚发布”</w:t>
      </w:r>
      <w:r>
        <w:rPr>
          <w:rFonts w:hint="default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eastAsia="zh-CN" w:bidi="ar-SA"/>
        </w:rPr>
        <w:t>官方</w:t>
      </w: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微信公众号</w:t>
      </w:r>
      <w:r>
        <w:rPr>
          <w:rFonts w:hint="default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eastAsia="zh-CN" w:bidi="ar-SA"/>
        </w:rPr>
        <w:t>推送信息1142</w:t>
      </w: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条</w:t>
      </w:r>
      <w:r>
        <w:rPr>
          <w:rFonts w:hint="default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eastAsia="zh-CN" w:bidi="ar-SA"/>
        </w:rPr>
        <w:t>，总阅读量达190.1万</w:t>
      </w: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line="620" w:lineRule="exact"/>
        <w:ind w:left="-10" w:leftChars="0" w:firstLine="64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依申请公开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进一步规范受理、审查、答复等</w:t>
      </w:r>
      <w:bookmarkStart w:id="0" w:name="_GoBack"/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各环节流程，本年度共收到和处理依申请公开84件，上年结转2件，均在法定期限内予以答复，无下年结转件</w:t>
      </w:r>
      <w:bookmarkEnd w:id="0"/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。因政府信息公开引起的行政复议</w:t>
      </w:r>
      <w:r>
        <w:rPr>
          <w:rFonts w:hint="default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eastAsia="zh-CN" w:bidi="ar-SA"/>
        </w:rPr>
        <w:t>3</w:t>
      </w: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件，行政诉讼案件0件。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line="620" w:lineRule="exact"/>
        <w:ind w:left="-10" w:leftChars="0" w:firstLine="64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政府信息管理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实行信息发布“三审三校”制度，确保信息真实可靠，显著提升信息公开成效，为建设透明、高效、服务型政府打下了基础。加强政府信息公开培训，不断增强工作人员的信息公开意识与工作能力。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line="620" w:lineRule="exact"/>
        <w:ind w:left="-10" w:leftChars="0" w:firstLine="64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政府信息公开平台建设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加强政府网站和政务新媒体管理，加强对原有新媒体的监督管理，切实保障政府网站和政务新媒体高效、安全、稳定运行。利用“良渚发布”微信公众号，通过音视频等形式扩大政务公开的渠道，优化栏目设置以提高时效性和权威性。2024年，良渚街道3次上榜杭州市政务新媒体红榜。    </w:t>
      </w:r>
    </w:p>
    <w:p>
      <w:pPr>
        <w:widowControl w:val="0"/>
        <w:numPr>
          <w:ilvl w:val="0"/>
          <w:numId w:val="1"/>
        </w:numPr>
        <w:wordWrap/>
        <w:adjustRightInd/>
        <w:snapToGrid w:val="0"/>
        <w:spacing w:line="620" w:lineRule="exact"/>
        <w:ind w:left="-10" w:leftChars="0" w:firstLine="64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监督保障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良渚街道严格落实一岗双责制度，严格执行信息发布三审核制度，从严把好信息公开的政治关、政策关、保密关、文字关，对于涉及隐私的信息绝不公开，严格落实谁审核谁负责原则，持续推进政府信息公开。积极落实社会评议制度，通过多种途径广泛接受社会大众的意见。2024年未发生政府信息公开工作责任追究结果情况。</w:t>
      </w:r>
    </w:p>
    <w:p>
      <w:pPr>
        <w:widowControl w:val="0"/>
        <w:wordWrap w:val="0"/>
        <w:adjustRightInd/>
        <w:snapToGrid/>
        <w:spacing w:line="550" w:lineRule="exact"/>
        <w:ind w:right="0"/>
        <w:jc w:val="both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　　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二、主动公开政府信息情况</w:t>
      </w:r>
    </w:p>
    <w:tbl>
      <w:tblPr>
        <w:tblStyle w:val="4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</w:tbl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三、收到和处理政府信息公开申请情况</w:t>
      </w:r>
    </w:p>
    <w:tbl>
      <w:tblPr>
        <w:tblStyle w:val="4"/>
        <w:tblW w:w="974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943"/>
        <w:gridCol w:w="3219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商业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科研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83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84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三、本年度办理结果</w:t>
            </w: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50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（二）部分公开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（三）不予公开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（四）无法提供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（五）不予处理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（六）其他处理</w:t>
            </w: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7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1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85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86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2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</w:tbl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四、政府信息公开行政复议、行政诉讼情况</w:t>
      </w:r>
    </w:p>
    <w:tbl>
      <w:tblPr>
        <w:tblStyle w:val="4"/>
        <w:tblW w:w="9743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尚未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auto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0</w:t>
            </w:r>
          </w:p>
        </w:tc>
      </w:tr>
    </w:tbl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五、存在的主要问题及改进情况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方正仿宋_GBK"/>
          <w:color w:val="auto"/>
          <w:sz w:val="32"/>
          <w:szCs w:val="32"/>
          <w:highlight w:val="none"/>
          <w:lang w:val="en-US" w:eastAsia="zh-CN"/>
        </w:rPr>
        <w:t>2024年，我街道在政府信息公开工作取得了一定的成绩，但对照上级的要求和公众的期望，还存在一些不足，主要表现在：一是信息更新不及时，推动政府信息公开的力度不够；二是公开的内容覆盖面不广，对于信息发布的积极性和主动性不够。三是社会公众对于政府信息公开的参与度不高，政务信息公开的手段和方法不多。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6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方正仿宋_GBK"/>
          <w:color w:val="auto"/>
          <w:sz w:val="32"/>
          <w:szCs w:val="32"/>
          <w:highlight w:val="none"/>
          <w:lang w:val="en-US" w:eastAsia="zh-CN"/>
        </w:rPr>
        <w:t>针对上述主要问题，我街道将通过以下措施加以改进：一是提高站位，进一步完善政府信息公开工作规程，规范和完善政府信息公开的内容、形式，做到及时、高效公开；二是以问题为导向，持续梳理群众关注度高的热点信息，使公开的信息更贴近公众、方便群众。三是进一步加大宣传力度，开展多种形式的宣传活动，让更多的人员了解政府信息公开，努力营造政府信息公开的良好氛围。</w:t>
      </w:r>
    </w:p>
    <w:p>
      <w:pPr>
        <w:widowControl w:val="0"/>
        <w:wordWrap w:val="0"/>
        <w:adjustRightInd/>
        <w:snapToGrid/>
        <w:spacing w:line="550" w:lineRule="exact"/>
        <w:ind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六、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其他需要报告的事项</w:t>
      </w:r>
    </w:p>
    <w:p>
      <w:pPr>
        <w:widowControl w:val="0"/>
        <w:numPr>
          <w:ilvl w:val="0"/>
          <w:numId w:val="0"/>
        </w:numPr>
        <w:wordWrap w:val="0"/>
        <w:adjustRightInd/>
        <w:snapToGrid/>
        <w:spacing w:line="550" w:lineRule="exact"/>
        <w:ind w:right="0"/>
        <w:jc w:val="both"/>
        <w:textAlignment w:val="auto"/>
        <w:outlineLvl w:val="9"/>
        <w:rPr>
          <w:color w:val="auto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　　</w:t>
      </w:r>
      <w:r>
        <w:rPr>
          <w:rFonts w:hint="eastAsia" w:ascii="Times New Roman" w:hAnsi="Times New Roman" w:eastAsia="仿宋_GB2312" w:cs="方正仿宋_GBK"/>
          <w:color w:val="auto"/>
          <w:sz w:val="32"/>
          <w:szCs w:val="32"/>
          <w:highlight w:val="none"/>
          <w:lang w:val="en-US" w:eastAsia="zh-CN"/>
        </w:rPr>
        <w:t>本单位2024年未收取信息处理费，无其他需要报告事项。</w:t>
      </w:r>
    </w:p>
    <w:sectPr>
      <w:pgSz w:w="11906" w:h="16838"/>
      <w:pgMar w:top="1701" w:right="1474" w:bottom="1587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7D2CEE"/>
    <w:multiLevelType w:val="singleLevel"/>
    <w:tmpl w:val="677D2CEE"/>
    <w:lvl w:ilvl="0" w:tentative="0">
      <w:start w:val="1"/>
      <w:numFmt w:val="chineseCounting"/>
      <w:suff w:val="nothing"/>
      <w:lvlText w:val="（%1）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00000"/>
    <w:rsid w:val="00482D85"/>
    <w:rsid w:val="03E125EC"/>
    <w:rsid w:val="050C42D8"/>
    <w:rsid w:val="07D8427A"/>
    <w:rsid w:val="07F170D4"/>
    <w:rsid w:val="0D6E3A97"/>
    <w:rsid w:val="149C415F"/>
    <w:rsid w:val="189C466F"/>
    <w:rsid w:val="1EF92460"/>
    <w:rsid w:val="295A7167"/>
    <w:rsid w:val="381366A3"/>
    <w:rsid w:val="3A16675B"/>
    <w:rsid w:val="3FAAADB7"/>
    <w:rsid w:val="3FFDB66F"/>
    <w:rsid w:val="47435171"/>
    <w:rsid w:val="4F373A05"/>
    <w:rsid w:val="50D756B0"/>
    <w:rsid w:val="63F95413"/>
    <w:rsid w:val="69262B12"/>
    <w:rsid w:val="6FED7E03"/>
    <w:rsid w:val="75F73037"/>
    <w:rsid w:val="784D67ED"/>
    <w:rsid w:val="7DFD4DD3"/>
    <w:rsid w:val="7EB119EA"/>
    <w:rsid w:val="DF7EF5D4"/>
    <w:rsid w:val="E1FF66CF"/>
    <w:rsid w:val="FB9570B3"/>
    <w:rsid w:val="FBD7A3CC"/>
    <w:rsid w:val="FF3FD207"/>
    <w:rsid w:val="FFFBFA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6816</Words>
  <Characters>6881</Characters>
  <Lines>0</Lines>
  <Paragraphs>0</Paragraphs>
  <TotalTime>5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2024-12-07T23:37:00Z</dcterms:created>
  <dc:creator>lenovo</dc:creator>
  <cp:lastModifiedBy>qufaban</cp:lastModifiedBy>
  <dcterms:modified xsi:type="dcterms:W3CDTF">2025-01-16T17:30:47Z</dcterms:modified>
  <dc:title>附件：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EB9FDB382C554C50BC1D684C06B3C839_12</vt:lpwstr>
  </property>
</Properties>
</file>