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ind w:firstLine="420" w:firstLineChars="0"/>
        <w:jc w:val="center"/>
        <w:rPr>
          <w:rFonts w:hint="eastAsia" w:ascii="方正小标宋_GBK" w:hAnsi="方正小标宋_GBK" w:eastAsia="方正小标宋_GBK" w:cs="方正小标宋_GBK"/>
          <w:color w:val="333333"/>
          <w:kern w:val="0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333333"/>
          <w:kern w:val="0"/>
          <w:sz w:val="36"/>
          <w:szCs w:val="36"/>
          <w:highlight w:val="none"/>
          <w:lang w:val="en-US" w:eastAsia="zh-CN"/>
        </w:rPr>
        <w:t>杭州市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余杭区百丈镇</w:t>
      </w:r>
      <w:r>
        <w:rPr>
          <w:rFonts w:hint="eastAsia" w:ascii="Times New Roman" w:hAnsi="Times New Roman" w:eastAsia="方正小标宋_GBK" w:cs="方正小标宋_GBK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小标宋_GBK" w:cs="方正小标宋_GBK"/>
          <w:b/>
          <w:bCs/>
          <w:color w:val="333333"/>
          <w:kern w:val="0"/>
          <w:sz w:val="36"/>
          <w:szCs w:val="36"/>
          <w:highlight w:val="none"/>
        </w:rPr>
        <w:t>02</w:t>
      </w:r>
      <w:r>
        <w:rPr>
          <w:rFonts w:hint="eastAsia" w:ascii="Times New Roman" w:hAnsi="Times New Roman" w:eastAsia="方正小标宋_GBK" w:cs="方正小标宋_GBK"/>
          <w:b/>
          <w:bCs/>
          <w:color w:val="333333"/>
          <w:kern w:val="0"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/>
          <w:bCs/>
          <w:color w:val="333333"/>
          <w:kern w:val="0"/>
          <w:sz w:val="36"/>
          <w:szCs w:val="36"/>
          <w:highlight w:val="none"/>
        </w:rPr>
        <w:t>年度政府信息公开工作年度报告</w:t>
      </w:r>
    </w:p>
    <w:p>
      <w:pPr>
        <w:widowControl w:val="0"/>
        <w:wordWrap/>
        <w:adjustRightInd/>
        <w:snapToGrid/>
        <w:spacing w:line="558" w:lineRule="exact"/>
        <w:ind w:left="0" w:leftChars="0" w:right="0"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</w:p>
    <w:p>
      <w:pPr>
        <w:widowControl w:val="0"/>
        <w:wordWrap/>
        <w:adjustRightInd/>
        <w:snapToGrid/>
        <w:spacing w:line="558" w:lineRule="exact"/>
        <w:ind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年以来，百丈镇认真贯彻落实《中华人民共和国政府信息公开条例》和省、市、区有关文件精神，进一步加强组织领导，始终秉持“公开为原则，不公开为例外”的原则，明确责任，抓实举措，切实做好政府信息公开各项工作。</w:t>
      </w:r>
    </w:p>
    <w:p>
      <w:pPr>
        <w:widowControl w:val="0"/>
        <w:wordWrap/>
        <w:adjustRightInd/>
        <w:snapToGrid/>
        <w:spacing w:line="558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highlight w:val="none"/>
        </w:rPr>
        <w:t>全文包括总体情况、主动公开政府信息情况、收到和处理政府信息公开申请情况、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highlight w:val="none"/>
          <w:lang w:eastAsia="zh-CN"/>
        </w:rPr>
        <w:t>政府信息公开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highlight w:val="none"/>
        </w:rPr>
        <w:t>行政复议、行政诉讼情况、存在的主要问题和改进情况和其他需要报告的事项。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本报告所列数据的统计期限自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日起至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日止。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/>
        </w:rPr>
        <w:t>对本报告有任何疑问，请与杭州市余杭区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百丈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/>
        </w:rPr>
        <w:t>镇人民政府党政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综合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/>
        </w:rPr>
        <w:t>办公室联系（地址：杭州市余杭区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百丈镇竹城路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213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/>
        </w:rPr>
        <w:t>，邮编：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/>
        </w:rPr>
        <w:t>31111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/>
        </w:rPr>
        <w:t>，电话：</w:t>
      </w:r>
      <w:r>
        <w:rPr>
          <w:rFonts w:hint="eastAsia" w:ascii="Times New Roman" w:hAnsi="Times New Roman" w:eastAsia="仿宋_GB2312" w:cs="仿宋_GB2312"/>
          <w:i w:val="0"/>
          <w:caps w:val="0"/>
          <w:color w:val="030303"/>
          <w:spacing w:val="0"/>
          <w:sz w:val="32"/>
          <w:szCs w:val="32"/>
          <w:highlight w:val="none"/>
          <w:shd w:val="clear" w:color="auto" w:fill="FFFFFF"/>
        </w:rPr>
        <w:t>0571</w:t>
      </w:r>
      <w:r>
        <w:rPr>
          <w:rFonts w:hint="eastAsia" w:ascii="仿宋_GB2312" w:hAnsi="仿宋_GB2312" w:eastAsia="仿宋_GB2312" w:cs="仿宋_GB2312"/>
          <w:i w:val="0"/>
          <w:caps w:val="0"/>
          <w:color w:val="030303"/>
          <w:spacing w:val="0"/>
          <w:sz w:val="32"/>
          <w:szCs w:val="32"/>
          <w:highlight w:val="none"/>
          <w:shd w:val="clear" w:color="auto" w:fill="FFFFFF"/>
        </w:rPr>
        <w:t>-</w:t>
      </w:r>
      <w:r>
        <w:rPr>
          <w:rFonts w:hint="eastAsia" w:ascii="Times New Roman" w:hAnsi="Times New Roman" w:eastAsia="仿宋_GB2312" w:cs="仿宋_GB2312"/>
          <w:i w:val="0"/>
          <w:caps w:val="0"/>
          <w:color w:val="030303"/>
          <w:spacing w:val="0"/>
          <w:sz w:val="32"/>
          <w:szCs w:val="32"/>
          <w:highlight w:val="none"/>
          <w:shd w:val="clear" w:color="auto" w:fill="FFFFFF"/>
        </w:rPr>
        <w:t>885</w:t>
      </w:r>
      <w:r>
        <w:rPr>
          <w:rFonts w:hint="eastAsia" w:ascii="Times New Roman" w:hAnsi="Times New Roman" w:eastAsia="仿宋_GB2312" w:cs="仿宋_GB2312"/>
          <w:i w:val="0"/>
          <w:caps w:val="0"/>
          <w:color w:val="030303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61901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/>
        </w:rPr>
        <w:t>）。</w:t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color w:val="333333"/>
          <w:kern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</w:rPr>
        <w:t>一、总体情况</w:t>
      </w:r>
    </w:p>
    <w:p>
      <w:pPr>
        <w:widowControl/>
        <w:shd w:val="clear" w:color="auto" w:fill="FFFFFF"/>
        <w:ind w:firstLine="480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（一）主动公开</w:t>
      </w:r>
    </w:p>
    <w:p>
      <w:pPr>
        <w:widowControl/>
        <w:shd w:val="clear" w:color="auto" w:fill="FFFFFF"/>
        <w:ind w:firstLine="48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2023年以来，百丈镇通过“共富百丈”微信公众号、区政府门户网站共发布各类信息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900余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条，其中“共富百丈”微信公众号发布信息885条，门户网站发布信息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个，通知公告13个，公开发布文件4个。</w:t>
      </w:r>
    </w:p>
    <w:p>
      <w:pPr>
        <w:widowControl/>
        <w:shd w:val="clear" w:color="auto" w:fill="FFFFFF"/>
        <w:ind w:firstLine="480"/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（二）依申请公开</w:t>
      </w:r>
    </w:p>
    <w:p>
      <w:pPr>
        <w:widowControl/>
        <w:numPr>
          <w:ilvl w:val="0"/>
          <w:numId w:val="0"/>
        </w:numPr>
        <w:shd w:val="clear" w:color="auto" w:fill="FFFFFF"/>
        <w:ind w:firstLine="640" w:firstLineChars="200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本年度收到信息公开申请1件。</w:t>
      </w:r>
    </w:p>
    <w:p>
      <w:pPr>
        <w:widowControl/>
        <w:shd w:val="clear" w:color="auto" w:fill="FFFFFF"/>
        <w:ind w:firstLine="480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（三）政府信息管理</w:t>
      </w:r>
    </w:p>
    <w:p>
      <w:pPr>
        <w:widowControl/>
        <w:numPr>
          <w:ilvl w:val="0"/>
          <w:numId w:val="0"/>
        </w:numPr>
        <w:shd w:val="clear" w:color="auto" w:fill="FFFFFF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百丈镇严格遵照《中华人民共和国政府信息公开条例》对政务信息公开进行管理。政务信息公开由党政综合办公室管理，明确政务公开工作责任分工，安排专员负责信息公开工作的收集、审核和发布。党政综合办公室落实相关文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的制订、依申请公开信息的受理等具体工作。畅通公开渠道，优化工作流程。群众可通过网络、信函、现场等多种途径申请信息公开，完善政府信息公开申请登记、审核、办理、答复、归档等工作制度。</w:t>
      </w:r>
    </w:p>
    <w:p>
      <w:pPr>
        <w:widowControl/>
        <w:shd w:val="clear" w:color="auto" w:fill="FFFFFF"/>
        <w:ind w:firstLine="480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（四）政府信息公开平台建设</w:t>
      </w:r>
    </w:p>
    <w:p>
      <w:pPr>
        <w:widowControl/>
        <w:numPr>
          <w:ilvl w:val="0"/>
          <w:numId w:val="0"/>
        </w:numPr>
        <w:shd w:val="clear" w:color="auto" w:fill="FFFFFF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着力政务平台建设。设置专门人员定期进行政务信息公开网站平台的维护、更新，配合上级做好信息公开规范性工作。同时充分利用好政务传统媒体结合新媒体的方法，大力创新政策解读形式，利用“共富百丈”微信公众号平台扩大政务公开的渠道，做好权威解读，提高政策的正确传播力和影响。</w:t>
      </w:r>
    </w:p>
    <w:p>
      <w:pPr>
        <w:widowControl/>
        <w:numPr>
          <w:ilvl w:val="0"/>
          <w:numId w:val="0"/>
        </w:numPr>
        <w:shd w:val="clear" w:color="auto" w:fill="FFFFFF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（五）监督保障</w:t>
      </w:r>
    </w:p>
    <w:p>
      <w:pPr>
        <w:widowControl/>
        <w:numPr>
          <w:ilvl w:val="0"/>
          <w:numId w:val="0"/>
        </w:numPr>
        <w:shd w:val="clear" w:color="auto" w:fill="FFFFFF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落实监督保障机制。始终把监督作为政府信息公开的关键环节，进一步健全政府信息公开监督机制、考核制度，日常对政府信息公开工作的实施情况进行监督检查，同时切实做好政府信息公开资料建档工作，积极落实社会评议制度，利用政务网站、“共富百丈”微信公众号、公开电话等广泛听取群众意见，接受群众监督，不断改进各项工作，提高工作效率。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年度未发生政务公开工作责任追究结果情况。</w:t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</w:rPr>
        <w:t>二、主动公开政府信息情况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本年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商业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科研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6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7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8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  <w:lang w:eastAsia="zh-CN"/>
        </w:rPr>
        <w:t>五、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</w:rPr>
        <w:t>存在的主要问题及改进情况</w:t>
      </w:r>
    </w:p>
    <w:p>
      <w:pPr>
        <w:widowControl/>
        <w:numPr>
          <w:ilvl w:val="0"/>
          <w:numId w:val="0"/>
        </w:numPr>
        <w:shd w:val="clear" w:color="auto" w:fill="FFFFFF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年我镇政务公开工作还存在一些差距和不足。一是信息公开的时效性有待提高。二是对主动公开的信息内容的理解和把握不够，对各项政策的理解不能灵活运用，发布的政务信息质量还不高。三是政策解读过于单一，缺少音频视频、卡通动漫等群众喜闻乐见的展现形式。</w:t>
      </w:r>
    </w:p>
    <w:p>
      <w:pPr>
        <w:widowControl/>
        <w:numPr>
          <w:ilvl w:val="0"/>
          <w:numId w:val="0"/>
        </w:numPr>
        <w:shd w:val="clear" w:color="auto" w:fill="FFFFFF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年，将继续严格按照《中华人民共和国政府信息公开条例》和余杭区政府总体要求，不断改进和完善工作机制，努力提高政务公开的质量和水平。一是加强学习和培训。强化政务公开工作人员的业务学习和培训，提高其对政务信息公开工作重要性的认识，提高工作人员素质和业务水平。二是创新政务公开工作途径。加大政务信息公开范围、提升政务信息公开质量，持续做好政务公开数据统计等基础工作，确保政务公开工作常态化。三是不断提高政策解读发布的质量。通过丰富解读的形式，扩宽政务公开的展现形式，进一步提高政务公开工作水平，助力政务公开工作提质增效。</w:t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</w:rPr>
        <w:t>六、其他需要报告的事项</w:t>
      </w:r>
    </w:p>
    <w:p>
      <w:pPr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color w:val="030303"/>
          <w:sz w:val="28"/>
          <w:szCs w:val="28"/>
          <w:highlight w:val="none"/>
          <w:lang w:val="en-US" w:eastAsia="zh-CN"/>
        </w:rPr>
        <w:t>2023</w:t>
      </w:r>
      <w:r>
        <w:rPr>
          <w:rFonts w:hint="eastAsia" w:ascii="仿宋_GB2312" w:hAnsi="微软雅黑" w:eastAsia="仿宋_GB2312"/>
          <w:color w:val="030303"/>
          <w:sz w:val="28"/>
          <w:szCs w:val="28"/>
          <w:highlight w:val="none"/>
          <w:lang w:val="en-US" w:eastAsia="zh-CN"/>
        </w:rPr>
        <w:t>年百丈镇收取信息处理费情况为</w:t>
      </w:r>
      <w:r>
        <w:rPr>
          <w:rFonts w:hint="eastAsia" w:ascii="Times New Roman" w:hAnsi="Times New Roman" w:eastAsia="仿宋_GB2312"/>
          <w:color w:val="030303"/>
          <w:sz w:val="28"/>
          <w:szCs w:val="28"/>
          <w:highlight w:val="none"/>
          <w:lang w:val="en-US" w:eastAsia="zh-CN"/>
        </w:rPr>
        <w:t>0</w:t>
      </w:r>
      <w:r>
        <w:rPr>
          <w:rFonts w:hint="eastAsia" w:ascii="仿宋_GB2312" w:hAnsi="微软雅黑" w:eastAsia="仿宋_GB2312"/>
          <w:color w:val="030303"/>
          <w:sz w:val="28"/>
          <w:szCs w:val="28"/>
          <w:highlight w:val="none"/>
          <w:lang w:val="en-US" w:eastAsia="zh-CN"/>
        </w:rPr>
        <w:t>，</w:t>
      </w:r>
      <w:r>
        <w:rPr>
          <w:rFonts w:hint="eastAsia" w:ascii="仿宋_GB2312" w:hAnsi="微软雅黑" w:eastAsia="仿宋_GB2312"/>
          <w:color w:val="030303"/>
          <w:sz w:val="28"/>
          <w:szCs w:val="28"/>
          <w:highlight w:val="none"/>
        </w:rPr>
        <w:t>本年度无其他需要报告的事项。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wMmQ0NWI5YTQ5Y2NmYzRhYTA3N2Q5YzkyYjE2NzUifQ=="/>
  </w:docVars>
  <w:rsids>
    <w:rsidRoot w:val="00000000"/>
    <w:rsid w:val="0586291D"/>
    <w:rsid w:val="061E541A"/>
    <w:rsid w:val="06515869"/>
    <w:rsid w:val="07036991"/>
    <w:rsid w:val="088D2C15"/>
    <w:rsid w:val="13C156F5"/>
    <w:rsid w:val="15A90E19"/>
    <w:rsid w:val="18347B85"/>
    <w:rsid w:val="18464840"/>
    <w:rsid w:val="1BB9458C"/>
    <w:rsid w:val="1D0A73B1"/>
    <w:rsid w:val="1F9B4A39"/>
    <w:rsid w:val="221B6805"/>
    <w:rsid w:val="22364E30"/>
    <w:rsid w:val="25A869D6"/>
    <w:rsid w:val="26AB5818"/>
    <w:rsid w:val="273D486E"/>
    <w:rsid w:val="277F0B5A"/>
    <w:rsid w:val="2D3F64E6"/>
    <w:rsid w:val="2D4C7D7A"/>
    <w:rsid w:val="2D9F6AE6"/>
    <w:rsid w:val="2E2831C7"/>
    <w:rsid w:val="2EFF0F13"/>
    <w:rsid w:val="324D1131"/>
    <w:rsid w:val="3345642D"/>
    <w:rsid w:val="38FC4989"/>
    <w:rsid w:val="3AD0644B"/>
    <w:rsid w:val="3B7F88BD"/>
    <w:rsid w:val="3B8F5FC8"/>
    <w:rsid w:val="3D2B59E9"/>
    <w:rsid w:val="3D965098"/>
    <w:rsid w:val="3F520BF1"/>
    <w:rsid w:val="44EE0B22"/>
    <w:rsid w:val="45B75FEC"/>
    <w:rsid w:val="47E44403"/>
    <w:rsid w:val="497C50C6"/>
    <w:rsid w:val="4AE33A6B"/>
    <w:rsid w:val="4DF85277"/>
    <w:rsid w:val="4F2E0591"/>
    <w:rsid w:val="4FFD6884"/>
    <w:rsid w:val="4FFFE763"/>
    <w:rsid w:val="50261E3F"/>
    <w:rsid w:val="5074560B"/>
    <w:rsid w:val="545974F0"/>
    <w:rsid w:val="5510701F"/>
    <w:rsid w:val="5AB2705D"/>
    <w:rsid w:val="5D2466DF"/>
    <w:rsid w:val="5DB23A65"/>
    <w:rsid w:val="5DE55498"/>
    <w:rsid w:val="62425D42"/>
    <w:rsid w:val="63F0428F"/>
    <w:rsid w:val="64B81FCE"/>
    <w:rsid w:val="654D6C3E"/>
    <w:rsid w:val="67FC31E0"/>
    <w:rsid w:val="69455B59"/>
    <w:rsid w:val="6B1A4247"/>
    <w:rsid w:val="6BCA0B67"/>
    <w:rsid w:val="6D9013CC"/>
    <w:rsid w:val="704A4E48"/>
    <w:rsid w:val="71681A1D"/>
    <w:rsid w:val="72AB6BB1"/>
    <w:rsid w:val="72C1077F"/>
    <w:rsid w:val="75051CD3"/>
    <w:rsid w:val="760C71B7"/>
    <w:rsid w:val="76417A12"/>
    <w:rsid w:val="784173A2"/>
    <w:rsid w:val="7AF741CD"/>
    <w:rsid w:val="7CB765E5"/>
    <w:rsid w:val="7D5879EA"/>
    <w:rsid w:val="7FBC31A1"/>
    <w:rsid w:val="F97E69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1128</Words>
  <Characters>1222</Characters>
  <Lines>0</Lines>
  <Paragraphs>0</Paragraphs>
  <TotalTime>33</TotalTime>
  <ScaleCrop>false</ScaleCrop>
  <LinksUpToDate>false</LinksUpToDate>
  <CharactersWithSpaces>0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2023-01-10T14:05:00Z</dcterms:created>
  <dc:creator>lenovo</dc:creator>
  <cp:lastModifiedBy>qufaban</cp:lastModifiedBy>
  <cp:lastPrinted>2023-01-11T11:46:00Z</cp:lastPrinted>
  <dcterms:modified xsi:type="dcterms:W3CDTF">2025-02-14T14:37:39Z</dcterms:modified>
  <dc:title>政府信息公开工作年度报告按照国办公开办函〔2021〕30号文件要求的统一格式发布，与往年年报内容不得雷同。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1B8BDAB4B4514C208F271BD9E50A9CAF_13</vt:lpwstr>
  </property>
</Properties>
</file>