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6"/>
          <w:szCs w:val="36"/>
          <w:lang w:val="en-US" w:eastAsia="zh-CN"/>
        </w:rPr>
        <w:t>杭州市余杭区农业农村局</w:t>
      </w: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6"/>
          <w:szCs w:val="36"/>
        </w:rPr>
        <w:t>202</w:t>
      </w: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6"/>
          <w:szCs w:val="36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6"/>
          <w:szCs w:val="36"/>
        </w:rPr>
        <w:t>年政府信息公开</w:t>
      </w:r>
    </w:p>
    <w:p>
      <w:pPr>
        <w:widowControl/>
        <w:shd w:val="clear" w:color="auto" w:fill="FFFFFF"/>
        <w:jc w:val="center"/>
        <w:rPr>
          <w:rFonts w:hint="eastAsia" w:ascii="仿宋_GB2312" w:hAnsi="仿宋_GB2312" w:eastAsia="仿宋_GB2312" w:cs="仿宋_GB2312"/>
          <w:color w:val="333333"/>
          <w:kern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6"/>
          <w:szCs w:val="36"/>
        </w:rPr>
        <w:t>工作年度报告</w:t>
      </w:r>
    </w:p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color w:val="333333"/>
          <w:kern w:val="0"/>
          <w:sz w:val="27"/>
          <w:szCs w:val="27"/>
        </w:rPr>
      </w:pPr>
    </w:p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7"/>
          <w:szCs w:val="27"/>
          <w:highlight w:val="none"/>
        </w:rPr>
        <w:t>一、总体情况</w:t>
      </w:r>
    </w:p>
    <w:p>
      <w:pPr>
        <w:widowControl/>
        <w:shd w:val="clear" w:color="auto" w:fill="FFFFFF"/>
        <w:ind w:firstLine="480"/>
        <w:jc w:val="left"/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lang w:val="en-US" w:eastAsia="zh-CN"/>
        </w:rPr>
        <w:t>（一）主动公开</w:t>
      </w:r>
    </w:p>
    <w:p>
      <w:pPr>
        <w:widowControl/>
        <w:shd w:val="clear" w:color="auto" w:fill="FFFFFF"/>
        <w:ind w:left="0" w:leftChars="0" w:firstLine="0" w:firstLineChars="0"/>
        <w:jc w:val="left"/>
        <w:rPr>
          <w:rFonts w:hint="eastAsia" w:ascii="仿宋_GB2312" w:hAnsi="仿宋_GB2312" w:eastAsia="仿宋_GB2312" w:cs="仿宋_GB2312"/>
          <w:i w:val="0"/>
          <w:iCs w:val="0"/>
          <w:color w:val="FF0000"/>
          <w:kern w:val="0"/>
          <w:sz w:val="27"/>
          <w:szCs w:val="27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highlight w:val="none"/>
          <w:lang w:eastAsia="zh-CN"/>
        </w:rPr>
        <w:t xml:space="preserve">    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highlight w:val="none"/>
          <w:lang w:val="en-US" w:eastAsia="zh-CN"/>
        </w:rPr>
        <w:t>以区政府门户网站为主渠道进行信息公开，</w:t>
      </w:r>
      <w:r>
        <w:rPr>
          <w:rFonts w:hint="default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highlight w:val="none"/>
          <w:lang w:eastAsia="zh-CN"/>
        </w:rPr>
        <w:t>持续加强“三农”政策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highlight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highlight w:val="none"/>
          <w:lang w:eastAsia="zh-CN"/>
        </w:rPr>
        <w:t>乡村振兴等各项工作进展情况的通报，</w:t>
      </w:r>
      <w:r>
        <w:rPr>
          <w:rFonts w:hint="default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highlight w:val="none"/>
          <w:lang w:eastAsia="zh-CN"/>
        </w:rPr>
        <w:t>及时更新“三农”项目立项、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highlight w:val="none"/>
          <w:lang w:eastAsia="zh-CN"/>
        </w:rPr>
        <w:t>涉农补贴、行政许可</w:t>
      </w:r>
      <w:r>
        <w:rPr>
          <w:rFonts w:hint="default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highlight w:val="none"/>
          <w:lang w:eastAsia="zh-CN"/>
        </w:rPr>
        <w:t>决定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highlight w:val="none"/>
          <w:lang w:val="en-US" w:eastAsia="zh-CN"/>
        </w:rPr>
        <w:t>等信息。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lang w:val="en-US" w:eastAsia="zh-CN"/>
        </w:rPr>
        <w:t>2024年，通过区政府门户网站主动公开各类政府信息共计3</w:t>
      </w:r>
      <w:r>
        <w:rPr>
          <w:rFonts w:hint="default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lang w:eastAsia="zh-CN"/>
        </w:rPr>
        <w:t>0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lang w:val="en-US" w:eastAsia="zh-CN"/>
        </w:rPr>
        <w:t>8条次；通过新闻媒体《农民日报》《浙江日报》《杭州日报》等各级媒体公开报道信息200余条次，其中中央级媒体报道刊登</w:t>
      </w:r>
      <w:r>
        <w:rPr>
          <w:rFonts w:hint="default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lang w:eastAsia="zh-CN"/>
        </w:rPr>
        <w:t>20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lang w:val="en-US" w:eastAsia="zh-CN"/>
        </w:rPr>
        <w:t>余篇，省级媒体报道刊登</w:t>
      </w:r>
      <w:r>
        <w:rPr>
          <w:rFonts w:hint="default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lang w:eastAsia="zh-CN"/>
        </w:rPr>
        <w:t>30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lang w:val="en-US" w:eastAsia="zh-CN"/>
        </w:rPr>
        <w:t>余篇，市级媒体报道刊登</w:t>
      </w:r>
      <w:r>
        <w:rPr>
          <w:rFonts w:hint="default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lang w:eastAsia="zh-CN"/>
        </w:rPr>
        <w:t>50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lang w:val="en-US" w:eastAsia="zh-CN"/>
        </w:rPr>
        <w:t>余篇，区级媒体报道刊登</w:t>
      </w:r>
      <w:r>
        <w:rPr>
          <w:rFonts w:hint="default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lang w:eastAsia="zh-CN"/>
        </w:rPr>
        <w:t>60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lang w:val="en-US" w:eastAsia="zh-CN"/>
        </w:rPr>
        <w:t>余篇，其他网络媒体发布百余篇。</w:t>
      </w:r>
    </w:p>
    <w:p>
      <w:pPr>
        <w:widowControl/>
        <w:shd w:val="clear" w:color="auto" w:fill="FFFFFF"/>
        <w:ind w:firstLine="480"/>
        <w:jc w:val="left"/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lang w:val="en-US" w:eastAsia="zh-CN"/>
        </w:rPr>
        <w:t>（二）依申请公开</w:t>
      </w:r>
    </w:p>
    <w:p>
      <w:pPr>
        <w:keepNext w:val="0"/>
        <w:keepLines w:val="0"/>
        <w:widowControl w:val="0"/>
        <w:suppressLineNumbers w:val="0"/>
        <w:shd w:val="clear" w:color="auto" w:fill="FFFFFF"/>
        <w:spacing w:before="0" w:beforeAutospacing="0" w:after="0" w:afterAutospacing="0"/>
        <w:ind w:left="0" w:right="0" w:firstLine="480"/>
        <w:jc w:val="both"/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lang w:val="en-US" w:eastAsia="zh-CN"/>
        </w:rPr>
        <w:t>规范依申请收件、登记、答复、邮寄等环节流程，确保依申请件合法合规答复。本年度收到公民和法人或其他组织政府信息公开申请共14件，已办结14件，均严格按照《中华人民共和国政府信息公开条例》等有关规定进行办理和答复。从申请方式看，网络申请10件，占71.4%；信函申请4件，占28.6%。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highlight w:val="none"/>
          <w:lang w:val="en-US" w:eastAsia="zh-CN"/>
        </w:rPr>
        <w:t>因政府信息公开引起的行政复议1件，无行政诉讼案件。</w:t>
      </w:r>
    </w:p>
    <w:p>
      <w:pPr>
        <w:widowControl/>
        <w:shd w:val="clear" w:color="auto" w:fill="FFFFFF"/>
        <w:ind w:firstLine="480"/>
        <w:jc w:val="left"/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lang w:eastAsia="zh-CN"/>
        </w:rPr>
        <w:t>（三）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lang w:val="en-US" w:eastAsia="zh-CN"/>
        </w:rPr>
        <w:t>政府信息管理</w:t>
      </w:r>
    </w:p>
    <w:p>
      <w:pPr>
        <w:widowControl/>
        <w:shd w:val="clear" w:color="auto" w:fill="FFFFFF"/>
        <w:ind w:firstLine="480"/>
        <w:jc w:val="left"/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lang w:val="en-US" w:eastAsia="zh-CN"/>
        </w:rPr>
        <w:t>牢固树立为民执政的理念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lang w:val="en-US" w:eastAsia="zh-CN"/>
        </w:rPr>
        <w:t>严格依照杭州市农业农村局、区政府办公室关于政府信息公开工作的部署，结合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lang w:eastAsia="zh-CN"/>
        </w:rPr>
        <w:t>本年度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lang w:val="en-US" w:eastAsia="zh-CN"/>
        </w:rPr>
        <w:t>“三农”工作重点，及时对相关工作进行公告发布、信息公开。进一步健全政府信息发布机制，严格执行信息发布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27"/>
          <w:szCs w:val="27"/>
          <w:highlight w:val="none"/>
          <w:lang w:val="en-US" w:eastAsia="zh-CN"/>
        </w:rPr>
        <w:t>“三审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27"/>
          <w:szCs w:val="27"/>
          <w:highlight w:val="none"/>
          <w:lang w:eastAsia="zh-CN"/>
        </w:rPr>
        <w:t>三校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27"/>
          <w:szCs w:val="27"/>
          <w:highlight w:val="none"/>
          <w:lang w:val="en-US" w:eastAsia="zh-CN"/>
        </w:rPr>
        <w:t>”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lang w:val="en-US" w:eastAsia="zh-CN"/>
        </w:rPr>
        <w:t>制度，确保信息真实性、准确性和权威性。</w:t>
      </w:r>
    </w:p>
    <w:p>
      <w:pPr>
        <w:widowControl/>
        <w:shd w:val="clear" w:color="auto" w:fill="FFFFFF"/>
        <w:ind w:firstLine="480"/>
        <w:jc w:val="left"/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lang w:eastAsia="zh-CN"/>
        </w:rPr>
        <w:t>（四）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lang w:val="en-US" w:eastAsia="zh-CN"/>
        </w:rPr>
        <w:t>政府信息公开平台建设</w:t>
      </w:r>
    </w:p>
    <w:p>
      <w:pPr>
        <w:widowControl/>
        <w:shd w:val="clear" w:color="auto" w:fill="FFFFFF"/>
        <w:ind w:firstLine="480"/>
        <w:jc w:val="left"/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lang w:val="en-US" w:eastAsia="zh-CN"/>
        </w:rPr>
        <w:t>将区政府门户网站作为政务公开第一平台，进一步优化网站功能、栏目设置，及时发布行政规范性文件等信息。拓宽信息公开渠道，通过“余杭三农”微信公众号平台加大公开及宣传力度，共发布</w:t>
      </w:r>
      <w:r>
        <w:rPr>
          <w:rFonts w:hint="default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lang w:eastAsia="zh-CN"/>
        </w:rPr>
        <w:t>859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lang w:val="en-US" w:eastAsia="zh-CN"/>
        </w:rPr>
        <w:t>条次，阅读量达</w:t>
      </w:r>
      <w:r>
        <w:rPr>
          <w:rFonts w:hint="default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highlight w:val="none"/>
          <w:lang w:eastAsia="zh-CN"/>
        </w:rPr>
        <w:t>39.8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highlight w:val="none"/>
          <w:lang w:val="en-US" w:eastAsia="zh-CN"/>
        </w:rPr>
        <w:t>万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lang w:val="en-US" w:eastAsia="zh-CN"/>
        </w:rPr>
        <w:t>人次，进一步扩大余杭“三农”工作的知名度和影响力。</w:t>
      </w:r>
    </w:p>
    <w:p>
      <w:pPr>
        <w:widowControl/>
        <w:shd w:val="clear" w:color="auto" w:fill="FFFFFF"/>
        <w:ind w:firstLine="480"/>
        <w:jc w:val="left"/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lang w:val="en-US" w:eastAsia="zh-CN"/>
        </w:rPr>
        <w:t>（五）监督保障</w:t>
      </w:r>
    </w:p>
    <w:p>
      <w:pPr>
        <w:widowControl/>
        <w:shd w:val="clear" w:color="auto" w:fill="FFFFFF"/>
        <w:ind w:firstLine="480"/>
        <w:jc w:val="left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27"/>
          <w:szCs w:val="27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lang w:val="en-US" w:eastAsia="zh-CN"/>
        </w:rPr>
        <w:t>政府信息公开工作由主要领导总负责，分管领导牵头，各科室协同配合，并落实局办公室专人负责，不断完善信息公开审查制度，对政府公开信息审核、信息编辑、信息发布做出明确要求。积极参与区</w:t>
      </w:r>
      <w:r>
        <w:rPr>
          <w:rFonts w:hint="default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lang w:eastAsia="zh-CN"/>
        </w:rPr>
        <w:t>政府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lang w:val="en-US" w:eastAsia="zh-CN"/>
        </w:rPr>
        <w:t>办组织的政务公开培训会，主动学习政府信息公开条例，认真贯彻执行政府信息公开审查制度，动态调整政府信息公开指南、机构设置等信息，确保公开的信息及时、规范、准确。通过监督电话、邮件等形式健全网上留言建议、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27"/>
          <w:szCs w:val="27"/>
          <w:lang w:val="en-US" w:eastAsia="zh-CN"/>
        </w:rPr>
        <w:t>投诉信访等渠道，加强公众互动，接收社会评议，广泛听取群众意见建议。2024年未发生政府信息公开工作责任追究结果情况。</w:t>
      </w:r>
    </w:p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color w:val="auto"/>
          <w:kern w:val="0"/>
          <w:sz w:val="27"/>
          <w:szCs w:val="27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7"/>
          <w:szCs w:val="27"/>
          <w:highlight w:val="none"/>
        </w:rPr>
        <w:t>二、主动公开政府信息情况</w:t>
      </w:r>
    </w:p>
    <w:tbl>
      <w:tblPr>
        <w:tblStyle w:val="5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现行有效件数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11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highlight w:val="none"/>
                <w:lang w:val="en-US" w:eastAsia="zh-CN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11461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</w:tbl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color w:val="auto"/>
          <w:kern w:val="0"/>
          <w:sz w:val="27"/>
          <w:szCs w:val="27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7"/>
          <w:szCs w:val="27"/>
          <w:highlight w:val="none"/>
        </w:rPr>
        <w:t>三、收到和处理政府信息公开申请情况</w:t>
      </w:r>
    </w:p>
    <w:tbl>
      <w:tblPr>
        <w:tblStyle w:val="5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商业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科研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（二）部分公开（区分处理的，只计这一情形，不计其他情形）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7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Autospacing="0" w:afterAutospacing="0" w:line="240" w:lineRule="auto"/>
              <w:ind w:left="0" w:leftChars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</w:tr>
    </w:tbl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color w:val="auto"/>
          <w:kern w:val="0"/>
          <w:sz w:val="27"/>
          <w:szCs w:val="27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7"/>
          <w:szCs w:val="27"/>
          <w:highlight w:val="none"/>
        </w:rPr>
        <w:t>四、政府信息公开行政复议、行政诉讼情况</w:t>
      </w:r>
    </w:p>
    <w:tbl>
      <w:tblPr>
        <w:tblStyle w:val="5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结果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其他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尚未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结果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结果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其他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尚未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结果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结果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其他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尚未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highlight w:val="none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0</w:t>
            </w:r>
          </w:p>
        </w:tc>
      </w:tr>
    </w:tbl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color w:val="auto"/>
          <w:kern w:val="0"/>
          <w:sz w:val="27"/>
          <w:szCs w:val="27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7"/>
          <w:szCs w:val="27"/>
          <w:highlight w:val="none"/>
        </w:rPr>
        <w:t>五、存在的主要问题及改进情况</w:t>
      </w:r>
    </w:p>
    <w:p>
      <w:pPr>
        <w:widowControl/>
        <w:shd w:val="clear" w:color="auto" w:fill="FFFFFF"/>
        <w:ind w:firstLine="480"/>
        <w:jc w:val="left"/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lang w:val="en-US" w:eastAsia="zh-CN"/>
        </w:rPr>
        <w:t>（一）主要问题</w:t>
      </w:r>
    </w:p>
    <w:p>
      <w:pPr>
        <w:widowControl/>
        <w:shd w:val="clear" w:color="auto" w:fill="FFFFFF"/>
        <w:ind w:firstLine="480"/>
        <w:jc w:val="left"/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lang w:val="en-US" w:eastAsia="zh-CN"/>
        </w:rPr>
        <w:t>2024年，</w:t>
      </w:r>
      <w:r>
        <w:rPr>
          <w:rFonts w:hint="default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lang w:val="en-US" w:eastAsia="zh-CN"/>
        </w:rPr>
        <w:t>区农业农村局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highlight w:val="none"/>
          <w:lang w:val="en-US" w:eastAsia="zh-CN"/>
        </w:rPr>
        <w:t>政府信息公开</w:t>
      </w:r>
      <w:r>
        <w:rPr>
          <w:rFonts w:hint="default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highlight w:val="none"/>
          <w:lang w:val="en-US" w:eastAsia="zh-CN"/>
        </w:rPr>
        <w:t>完成情况较好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highlight w:val="none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highlight w:val="none"/>
          <w:lang w:val="en-US" w:eastAsia="zh-CN"/>
        </w:rPr>
        <w:t>但仍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highlight w:val="none"/>
          <w:lang w:val="en-US" w:eastAsia="zh-CN"/>
        </w:rPr>
        <w:t>存在一些不足：一是信息公开范围有待进一步拓展</w:t>
      </w:r>
      <w:r>
        <w:rPr>
          <w:rFonts w:hint="default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highlight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highlight w:val="none"/>
          <w:lang w:val="en-US" w:eastAsia="zh-CN"/>
        </w:rPr>
        <w:t>内容有待进一步</w:t>
      </w:r>
      <w:r>
        <w:rPr>
          <w:rFonts w:hint="default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highlight w:val="none"/>
          <w:lang w:val="en-US" w:eastAsia="zh-CN"/>
        </w:rPr>
        <w:t>细化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highlight w:val="none"/>
          <w:lang w:val="en-US" w:eastAsia="zh-CN"/>
        </w:rPr>
        <w:t>；二是</w:t>
      </w:r>
      <w:r>
        <w:rPr>
          <w:rFonts w:hint="default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highlight w:val="none"/>
          <w:lang w:val="en-US" w:eastAsia="zh-CN"/>
        </w:rPr>
        <w:t>局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highlight w:val="none"/>
          <w:lang w:val="en-US" w:eastAsia="zh-CN"/>
        </w:rPr>
        <w:t>各科</w:t>
      </w:r>
      <w:r>
        <w:rPr>
          <w:rFonts w:hint="default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highlight w:val="none"/>
          <w:lang w:val="en-US" w:eastAsia="zh-CN"/>
        </w:rPr>
        <w:t>站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highlight w:val="none"/>
          <w:lang w:val="en-US" w:eastAsia="zh-CN"/>
        </w:rPr>
        <w:t>政务公开的积极性</w:t>
      </w:r>
      <w:r>
        <w:rPr>
          <w:rFonts w:hint="default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highlight w:val="none"/>
          <w:lang w:val="en-US" w:eastAsia="zh-CN"/>
        </w:rPr>
        <w:t>和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highlight w:val="none"/>
          <w:lang w:val="en-US" w:eastAsia="zh-CN"/>
        </w:rPr>
        <w:t>主动性仍需强化。</w:t>
      </w:r>
    </w:p>
    <w:p>
      <w:pPr>
        <w:widowControl/>
        <w:shd w:val="clear" w:color="auto" w:fill="FFFFFF"/>
        <w:ind w:firstLine="480"/>
        <w:jc w:val="left"/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highlight w:val="none"/>
          <w:lang w:val="en-US" w:eastAsia="zh-CN"/>
        </w:rPr>
        <w:t>（二）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highlight w:val="none"/>
          <w:lang w:val="en-US" w:eastAsia="zh-CN"/>
        </w:rPr>
        <w:t>改进措施</w:t>
      </w:r>
    </w:p>
    <w:p>
      <w:pPr>
        <w:keepNext w:val="0"/>
        <w:keepLines w:val="0"/>
        <w:widowControl w:val="0"/>
        <w:suppressLineNumbers w:val="0"/>
        <w:shd w:val="clear" w:color="auto" w:fill="FFFFFF"/>
        <w:spacing w:before="0" w:beforeAutospacing="0" w:after="0" w:afterAutospacing="0"/>
        <w:ind w:left="0" w:right="0" w:firstLine="480"/>
        <w:jc w:val="both"/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highlight w:val="none"/>
          <w:lang w:val="en-US" w:eastAsia="zh-CN"/>
        </w:rPr>
        <w:t>一是拓宽政府信息公开渠道，做好重点领域信息公开。按照《中华人民共和国政府信息公开条例》要求，梳理主动公开内容，深化重点领域信息公开，及时、全面地通过门户网站、</w:t>
      </w:r>
      <w:r>
        <w:rPr>
          <w:rFonts w:hint="default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highlight w:val="none"/>
          <w:lang w:val="en-US" w:eastAsia="zh-CN"/>
        </w:rPr>
        <w:t>“余杭三农”公众号、《农民日报》等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highlight w:val="none"/>
          <w:lang w:val="en-US" w:eastAsia="zh-CN"/>
        </w:rPr>
        <w:t>新媒体以及线下宣传方式进行公开。</w:t>
      </w:r>
    </w:p>
    <w:p>
      <w:pPr>
        <w:widowControl/>
        <w:shd w:val="clear" w:color="auto" w:fill="FFFFFF"/>
        <w:ind w:firstLine="480"/>
        <w:jc w:val="left"/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highlight w:val="none"/>
          <w:lang w:val="en-US" w:eastAsia="zh-CN"/>
        </w:rPr>
        <w:t>二是定期开展业务培训，不断提高工作人员的理论知识及业务能力，提高政府信息公开积极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lang w:val="en-US" w:eastAsia="zh-CN"/>
        </w:rPr>
        <w:t>主动性。</w:t>
      </w:r>
    </w:p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color w:val="auto"/>
          <w:kern w:val="0"/>
          <w:sz w:val="27"/>
          <w:szCs w:val="27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7"/>
          <w:szCs w:val="27"/>
          <w:highlight w:val="none"/>
        </w:rPr>
        <w:t>六、其他需要报告的事项</w:t>
      </w:r>
    </w:p>
    <w:p>
      <w:pPr>
        <w:widowControl/>
        <w:shd w:val="clear" w:color="auto" w:fill="FFFFFF"/>
        <w:ind w:firstLine="480"/>
        <w:jc w:val="left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color="0A0000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</w:rPr>
        <w:t>本单位202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</w:rPr>
        <w:t>年未收取信息处理费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27"/>
          <w:szCs w:val="27"/>
          <w:lang w:eastAsia="zh-CN"/>
        </w:rPr>
        <w:t>，无其他需要报告事项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7"/>
          <w:szCs w:val="27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ZDgzMWRhYzkzODI4M2E0NmQyYzgwMjZkMzM4OTBkZWYifQ=="/>
  </w:docVars>
  <w:rsids>
    <w:rsidRoot w:val="00000000"/>
    <w:rsid w:val="18347B85"/>
    <w:rsid w:val="18464840"/>
    <w:rsid w:val="197D0185"/>
    <w:rsid w:val="1F3D58DA"/>
    <w:rsid w:val="1F9B4A39"/>
    <w:rsid w:val="23FFD6BC"/>
    <w:rsid w:val="26AB5818"/>
    <w:rsid w:val="277F0B5A"/>
    <w:rsid w:val="2D41674C"/>
    <w:rsid w:val="32BA0A47"/>
    <w:rsid w:val="375DEEF2"/>
    <w:rsid w:val="3AD0644B"/>
    <w:rsid w:val="3D38727D"/>
    <w:rsid w:val="3D965098"/>
    <w:rsid w:val="3EB9E1BC"/>
    <w:rsid w:val="3F795C1B"/>
    <w:rsid w:val="3FFD48BA"/>
    <w:rsid w:val="497C50C6"/>
    <w:rsid w:val="4FF32775"/>
    <w:rsid w:val="50261E3F"/>
    <w:rsid w:val="52BF5612"/>
    <w:rsid w:val="59EFB158"/>
    <w:rsid w:val="5D086DAF"/>
    <w:rsid w:val="5DB23A65"/>
    <w:rsid w:val="5DE55498"/>
    <w:rsid w:val="5EDFA5D5"/>
    <w:rsid w:val="5FD96228"/>
    <w:rsid w:val="5FDFC0A4"/>
    <w:rsid w:val="5FFC6575"/>
    <w:rsid w:val="5FFDE88C"/>
    <w:rsid w:val="63F0428F"/>
    <w:rsid w:val="6496363E"/>
    <w:rsid w:val="67FC31E0"/>
    <w:rsid w:val="69455B59"/>
    <w:rsid w:val="6BDF3BB9"/>
    <w:rsid w:val="6CDE17FC"/>
    <w:rsid w:val="6DFEB969"/>
    <w:rsid w:val="6EE7B78B"/>
    <w:rsid w:val="6EFF9B4C"/>
    <w:rsid w:val="6F3F5F32"/>
    <w:rsid w:val="71CB5155"/>
    <w:rsid w:val="75051CD3"/>
    <w:rsid w:val="76FB160A"/>
    <w:rsid w:val="76FF1680"/>
    <w:rsid w:val="77FB9D87"/>
    <w:rsid w:val="784173A2"/>
    <w:rsid w:val="7BFD43A1"/>
    <w:rsid w:val="7CB765E5"/>
    <w:rsid w:val="7CBE7128"/>
    <w:rsid w:val="7CDE71F8"/>
    <w:rsid w:val="7D6D535C"/>
    <w:rsid w:val="7DCC7AD0"/>
    <w:rsid w:val="7DFFF01A"/>
    <w:rsid w:val="7ECF18F4"/>
    <w:rsid w:val="7FCFF117"/>
    <w:rsid w:val="7FEFD2E4"/>
    <w:rsid w:val="7FFFCDBE"/>
    <w:rsid w:val="8DDE2C38"/>
    <w:rsid w:val="B7DFD439"/>
    <w:rsid w:val="B7E78050"/>
    <w:rsid w:val="BE9FEE16"/>
    <w:rsid w:val="CDFF2630"/>
    <w:rsid w:val="DBBBA989"/>
    <w:rsid w:val="DFFBA85B"/>
    <w:rsid w:val="E6F73D4B"/>
    <w:rsid w:val="EEDEE43E"/>
    <w:rsid w:val="EFFF4D00"/>
    <w:rsid w:val="F2FD50C9"/>
    <w:rsid w:val="F6B716E1"/>
    <w:rsid w:val="F7DE9930"/>
    <w:rsid w:val="F7FF4A4B"/>
    <w:rsid w:val="FADF9E57"/>
    <w:rsid w:val="FB7E16CF"/>
    <w:rsid w:val="FBD75AD6"/>
    <w:rsid w:val="FCBF7C1E"/>
    <w:rsid w:val="FDABB30E"/>
    <w:rsid w:val="FDDE95C3"/>
    <w:rsid w:val="FEAFE749"/>
    <w:rsid w:val="FEFF8B48"/>
    <w:rsid w:val="FFB9E607"/>
    <w:rsid w:val="FFBB2C0A"/>
    <w:rsid w:val="FFFF37E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1128</Words>
  <Characters>1222</Characters>
  <Lines>1</Lines>
  <Paragraphs>1</Paragraphs>
  <TotalTime>6</TotalTime>
  <ScaleCrop>false</ScaleCrop>
  <LinksUpToDate>false</LinksUpToDate>
  <CharactersWithSpaces>0</CharactersWithSpaces>
  <Application>WPS Office_12.8.2.1112_F1E327BC-269C-435d-A152-05C5408002CA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2023-01-14T22:05:00Z</dcterms:created>
  <dc:creator>lenovo</dc:creator>
  <cp:lastModifiedBy>qufaban</cp:lastModifiedBy>
  <cp:lastPrinted>2025-01-08T21:55:00Z</cp:lastPrinted>
  <dcterms:modified xsi:type="dcterms:W3CDTF">2025-01-10T13:45:28Z</dcterms:modified>
  <dc:title>政府信息公开工作年度报告按照国办公开办函〔2021〕30号文件要求的统一格式发布，与往年年报内容不得雷同。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2052-12.8.2.1112</vt:lpwstr>
  </property>
  <property fmtid="{D5CDD505-2E9C-101B-9397-08002B2CF9AE}" pid="3" name="ICV">
    <vt:lpwstr>06EB3DCBAB1D49878785ADFE14E26523_13</vt:lpwstr>
  </property>
</Properties>
</file>