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785F5">
      <w:pPr>
        <w:kinsoku w:val="0"/>
        <w:wordWrap w:val="0"/>
        <w:spacing w:beforeLines="0" w:afterLines="0" w:line="570" w:lineRule="exact"/>
        <w:ind w:firstLine="0" w:firstLineChars="0"/>
        <w:jc w:val="center"/>
        <w:rPr>
          <w:rFonts w:eastAsia="华文中宋" w:cs="Times New Roman"/>
          <w:b/>
          <w:sz w:val="48"/>
          <w:szCs w:val="48"/>
        </w:rPr>
      </w:pPr>
    </w:p>
    <w:p w14:paraId="21D9CB5C">
      <w:pPr>
        <w:kinsoku w:val="0"/>
        <w:wordWrap w:val="0"/>
        <w:spacing w:beforeLines="0" w:afterLines="0" w:line="570" w:lineRule="exact"/>
        <w:ind w:firstLine="0" w:firstLineChars="0"/>
        <w:jc w:val="center"/>
        <w:rPr>
          <w:rFonts w:eastAsia="华文中宋" w:cs="Times New Roman"/>
          <w:b/>
          <w:sz w:val="48"/>
          <w:szCs w:val="48"/>
        </w:rPr>
      </w:pPr>
    </w:p>
    <w:p w14:paraId="07C99070">
      <w:pPr>
        <w:kinsoku w:val="0"/>
        <w:wordWrap w:val="0"/>
        <w:spacing w:beforeLines="0" w:afterLines="0" w:line="570" w:lineRule="exact"/>
        <w:ind w:firstLine="0" w:firstLineChars="0"/>
        <w:jc w:val="center"/>
        <w:rPr>
          <w:rFonts w:eastAsia="华文中宋" w:cs="Times New Roman"/>
          <w:b/>
          <w:sz w:val="48"/>
          <w:szCs w:val="48"/>
        </w:rPr>
      </w:pPr>
    </w:p>
    <w:p w14:paraId="2B6744F4">
      <w:pPr>
        <w:kinsoku w:val="0"/>
        <w:wordWrap w:val="0"/>
        <w:spacing w:beforeLines="0" w:afterLines="0" w:line="570" w:lineRule="exact"/>
        <w:ind w:firstLine="0" w:firstLineChars="0"/>
        <w:jc w:val="center"/>
        <w:rPr>
          <w:rFonts w:eastAsia="方正小标宋_GBK" w:cs="Times New Roman"/>
          <w:bCs/>
          <w:spacing w:val="28"/>
          <w:sz w:val="56"/>
          <w:szCs w:val="56"/>
        </w:rPr>
      </w:pPr>
      <w:r>
        <w:rPr>
          <w:rFonts w:eastAsia="方正小标宋_GBK" w:cs="Times New Roman"/>
          <w:bCs/>
          <w:spacing w:val="28"/>
          <w:sz w:val="56"/>
          <w:szCs w:val="56"/>
        </w:rPr>
        <w:t>余杭区国民经济与社会发展</w:t>
      </w:r>
    </w:p>
    <w:p w14:paraId="0C6A0584">
      <w:pPr>
        <w:kinsoku w:val="0"/>
        <w:spacing w:beforeLines="0" w:afterLines="0" w:line="570" w:lineRule="exact"/>
        <w:ind w:firstLine="0" w:firstLineChars="0"/>
        <w:jc w:val="center"/>
        <w:rPr>
          <w:rFonts w:eastAsia="方正小标宋_GBK" w:cs="Times New Roman"/>
          <w:bCs/>
          <w:spacing w:val="28"/>
          <w:sz w:val="56"/>
          <w:szCs w:val="56"/>
        </w:rPr>
      </w:pPr>
      <w:r>
        <w:rPr>
          <w:rFonts w:eastAsia="方正小标宋_GBK" w:cs="Times New Roman"/>
          <w:bCs/>
          <w:spacing w:val="28"/>
          <w:sz w:val="56"/>
          <w:szCs w:val="56"/>
        </w:rPr>
        <w:t>第十四个五年规划纲要</w:t>
      </w:r>
    </w:p>
    <w:p w14:paraId="01484A86">
      <w:pPr>
        <w:kinsoku w:val="0"/>
        <w:spacing w:beforeLines="0" w:afterLines="0" w:line="570" w:lineRule="exact"/>
        <w:ind w:firstLine="0" w:firstLineChars="0"/>
        <w:jc w:val="center"/>
        <w:rPr>
          <w:rFonts w:eastAsia="方正小标宋_GBK" w:cs="Times New Roman"/>
          <w:bCs/>
          <w:spacing w:val="28"/>
          <w:sz w:val="56"/>
          <w:szCs w:val="56"/>
        </w:rPr>
      </w:pPr>
      <w:r>
        <w:rPr>
          <w:rFonts w:eastAsia="方正小标宋_GBK" w:cs="Times New Roman"/>
          <w:bCs/>
          <w:spacing w:val="28"/>
          <w:sz w:val="56"/>
          <w:szCs w:val="56"/>
        </w:rPr>
        <w:t>中期评估</w:t>
      </w:r>
    </w:p>
    <w:p w14:paraId="512E8B23">
      <w:pPr>
        <w:spacing w:beforeLines="0" w:afterLines="0" w:line="570" w:lineRule="exact"/>
        <w:ind w:firstLine="0" w:firstLineChars="0"/>
        <w:jc w:val="center"/>
        <w:rPr>
          <w:rFonts w:eastAsia="楷体_GB2312" w:cs="Times New Roman"/>
          <w:sz w:val="36"/>
          <w:szCs w:val="36"/>
        </w:rPr>
      </w:pPr>
    </w:p>
    <w:p w14:paraId="2081F654">
      <w:pPr>
        <w:spacing w:beforeLines="0" w:afterLines="0" w:line="570" w:lineRule="exact"/>
        <w:ind w:firstLine="0" w:firstLineChars="0"/>
        <w:jc w:val="center"/>
        <w:rPr>
          <w:rFonts w:eastAsia="楷体_GB2312" w:cs="Times New Roman"/>
          <w:sz w:val="36"/>
          <w:szCs w:val="36"/>
        </w:rPr>
      </w:pPr>
    </w:p>
    <w:p w14:paraId="4DE1CF96">
      <w:pPr>
        <w:spacing w:beforeLines="0" w:afterLines="0" w:line="570" w:lineRule="exact"/>
        <w:ind w:firstLine="0" w:firstLineChars="0"/>
        <w:jc w:val="center"/>
        <w:rPr>
          <w:rFonts w:eastAsia="楷体_GB2312" w:cs="Times New Roman"/>
          <w:sz w:val="36"/>
          <w:szCs w:val="36"/>
        </w:rPr>
      </w:pPr>
    </w:p>
    <w:p w14:paraId="1D5335A3">
      <w:pPr>
        <w:spacing w:beforeLines="0" w:afterLines="0" w:line="570" w:lineRule="exact"/>
        <w:ind w:firstLine="0" w:firstLineChars="0"/>
        <w:jc w:val="center"/>
        <w:rPr>
          <w:rFonts w:eastAsia="楷体_GB2312" w:cs="Times New Roman"/>
          <w:sz w:val="36"/>
          <w:szCs w:val="36"/>
        </w:rPr>
      </w:pPr>
    </w:p>
    <w:p w14:paraId="6B9542BE">
      <w:pPr>
        <w:spacing w:beforeLines="0" w:afterLines="0" w:line="570" w:lineRule="exact"/>
        <w:ind w:firstLine="0" w:firstLineChars="0"/>
        <w:jc w:val="center"/>
        <w:rPr>
          <w:rFonts w:eastAsia="楷体_GB2312" w:cs="Times New Roman"/>
          <w:sz w:val="36"/>
          <w:szCs w:val="36"/>
        </w:rPr>
      </w:pPr>
    </w:p>
    <w:p w14:paraId="15ABCE06">
      <w:pPr>
        <w:spacing w:beforeLines="0" w:afterLines="0" w:line="570" w:lineRule="exact"/>
        <w:ind w:firstLine="0" w:firstLineChars="0"/>
        <w:jc w:val="center"/>
        <w:rPr>
          <w:rFonts w:eastAsia="楷体_GB2312" w:cs="Times New Roman"/>
          <w:sz w:val="36"/>
          <w:szCs w:val="36"/>
        </w:rPr>
      </w:pPr>
    </w:p>
    <w:p w14:paraId="422652BB">
      <w:pPr>
        <w:spacing w:beforeLines="0" w:afterLines="0" w:line="570" w:lineRule="exact"/>
        <w:ind w:firstLine="0" w:firstLineChars="0"/>
        <w:jc w:val="center"/>
        <w:rPr>
          <w:rFonts w:eastAsia="楷体_GB2312" w:cs="Times New Roman"/>
          <w:sz w:val="36"/>
          <w:szCs w:val="36"/>
        </w:rPr>
      </w:pPr>
    </w:p>
    <w:p w14:paraId="76058F25">
      <w:pPr>
        <w:spacing w:beforeLines="0" w:afterLines="0" w:line="570" w:lineRule="exact"/>
        <w:ind w:firstLine="0" w:firstLineChars="0"/>
        <w:jc w:val="center"/>
        <w:rPr>
          <w:rFonts w:eastAsia="楷体_GB2312" w:cs="Times New Roman"/>
          <w:sz w:val="36"/>
          <w:szCs w:val="36"/>
        </w:rPr>
      </w:pPr>
    </w:p>
    <w:p w14:paraId="77FE7DA8">
      <w:pPr>
        <w:spacing w:beforeLines="0" w:afterLines="0" w:line="570" w:lineRule="exact"/>
        <w:ind w:firstLine="0" w:firstLineChars="0"/>
        <w:jc w:val="center"/>
        <w:rPr>
          <w:rFonts w:eastAsia="楷体_GB2312" w:cs="Times New Roman"/>
          <w:sz w:val="36"/>
          <w:szCs w:val="36"/>
        </w:rPr>
      </w:pPr>
    </w:p>
    <w:p w14:paraId="74E1D1BF">
      <w:pPr>
        <w:spacing w:beforeLines="0" w:afterLines="0" w:line="570" w:lineRule="exact"/>
        <w:ind w:firstLine="0" w:firstLineChars="0"/>
        <w:jc w:val="center"/>
        <w:rPr>
          <w:rFonts w:eastAsia="楷体_GB2312" w:cs="Times New Roman"/>
          <w:sz w:val="36"/>
          <w:szCs w:val="36"/>
        </w:rPr>
      </w:pPr>
    </w:p>
    <w:p w14:paraId="6425890F">
      <w:pPr>
        <w:spacing w:beforeLines="0" w:afterLines="0" w:line="570" w:lineRule="exact"/>
        <w:ind w:firstLine="0" w:firstLineChars="0"/>
        <w:rPr>
          <w:rFonts w:eastAsia="楷体_GB2312" w:cs="Times New Roman"/>
          <w:sz w:val="36"/>
          <w:szCs w:val="36"/>
        </w:rPr>
      </w:pPr>
    </w:p>
    <w:p w14:paraId="1E85AA79">
      <w:pPr>
        <w:spacing w:beforeLines="0" w:afterLines="0" w:line="570" w:lineRule="exact"/>
        <w:ind w:firstLine="0" w:firstLineChars="0"/>
        <w:jc w:val="center"/>
        <w:rPr>
          <w:rFonts w:eastAsia="楷体_GB2312" w:cs="Times New Roman"/>
          <w:sz w:val="36"/>
          <w:szCs w:val="36"/>
        </w:rPr>
      </w:pPr>
    </w:p>
    <w:p w14:paraId="1CEA3AD9">
      <w:pPr>
        <w:spacing w:beforeLines="0" w:afterLines="0" w:line="570" w:lineRule="exact"/>
        <w:ind w:firstLine="0" w:firstLineChars="0"/>
        <w:jc w:val="center"/>
        <w:rPr>
          <w:rFonts w:cs="Times New Roman"/>
          <w:sz w:val="40"/>
          <w:szCs w:val="40"/>
          <w:highlight w:val="cyan"/>
        </w:rPr>
      </w:pPr>
    </w:p>
    <w:p w14:paraId="02CB2A5A">
      <w:pPr>
        <w:spacing w:beforeLines="0" w:afterLines="0" w:line="570" w:lineRule="exact"/>
        <w:ind w:firstLine="0"/>
        <w:rPr>
          <w:rFonts w:cs="Times New Roman"/>
          <w:highlight w:val="cyan"/>
        </w:rPr>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4" w:left="1587" w:header="851" w:footer="992" w:gutter="0"/>
          <w:cols w:space="720" w:num="1"/>
          <w:docGrid w:type="lines" w:linePitch="439" w:charSpace="0"/>
        </w:sectPr>
      </w:pPr>
    </w:p>
    <w:p w14:paraId="642CBD99">
      <w:pPr>
        <w:spacing w:beforeLines="0" w:afterLines="0" w:line="570" w:lineRule="exact"/>
        <w:ind w:firstLine="0"/>
        <w:jc w:val="left"/>
        <w:rPr>
          <w:rFonts w:cs="Times New Roman"/>
        </w:rPr>
      </w:pPr>
      <w:r>
        <w:rPr>
          <w:rFonts w:cs="Times New Roman"/>
        </w:rPr>
        <w:t>《</w:t>
      </w:r>
      <w:r>
        <w:rPr>
          <w:rFonts w:hint="eastAsia" w:cs="Times New Roman"/>
        </w:rPr>
        <w:t>杭州市余杭区</w:t>
      </w:r>
      <w:r>
        <w:rPr>
          <w:rFonts w:cs="Times New Roman"/>
        </w:rPr>
        <w:t>国民经济和社会发展第十四个五年规划和二〇三五年远景目标纲要》（以下简称《纲要》）是余杭区站在“两个一百年”历史交汇点上的宏伟蓝图。自2021年《纲要》实施以来，面对极具压力、极富挑战、极不寻常的“十四五”前半程，余杭区深入贯彻党的二十大精神，忠实践行“八八战略”，以高质量可持续快发展为主题，</w:t>
      </w:r>
      <w:r>
        <w:rPr>
          <w:rFonts w:cs="Times New Roman"/>
          <w:szCs w:val="32"/>
        </w:rPr>
        <w:t>以创新深化改革攻坚开放提升为基本路径，</w:t>
      </w:r>
      <w:r>
        <w:rPr>
          <w:rFonts w:cs="Times New Roman"/>
        </w:rPr>
        <w:t>围绕“打造面向世界、引领未来、服务全国、辐射全省的未来城市样板地、未来科技策源地、未来产业引领地”的要求深入推进工作</w:t>
      </w:r>
      <w:r>
        <w:rPr>
          <w:rFonts w:hint="eastAsia" w:cs="Times New Roman"/>
        </w:rPr>
        <w:t>，</w:t>
      </w:r>
      <w:r>
        <w:rPr>
          <w:rFonts w:cs="Times New Roman"/>
        </w:rPr>
        <w:t>高水平建设创新余杭、品质之区、文明圣地。结合</w:t>
      </w:r>
      <w:r>
        <w:rPr>
          <w:rFonts w:hint="eastAsia" w:cs="Times New Roman"/>
        </w:rPr>
        <w:t>余杭实际与</w:t>
      </w:r>
      <w:r>
        <w:rPr>
          <w:rFonts w:cs="Times New Roman"/>
        </w:rPr>
        <w:t>新形势、新变化</w:t>
      </w:r>
      <w:r>
        <w:rPr>
          <w:rFonts w:hint="eastAsia" w:cs="Times New Roman"/>
        </w:rPr>
        <w:t>，</w:t>
      </w:r>
      <w:r>
        <w:rPr>
          <w:rFonts w:cs="Times New Roman"/>
        </w:rPr>
        <w:t>全面评估《纲要》实施进展情况，探讨针对性对策建议以便推进《纲要》顺利实施，对于余杭在“十四五”后半程更好地</w:t>
      </w:r>
      <w:r>
        <w:rPr>
          <w:rFonts w:hint="eastAsia" w:cs="Times New Roman"/>
        </w:rPr>
        <w:t>纵深推进</w:t>
      </w:r>
      <w:r>
        <w:rPr>
          <w:rFonts w:cs="Times New Roman"/>
        </w:rPr>
        <w:t>杭州城市重要新中</w:t>
      </w:r>
      <w:r>
        <w:rPr>
          <w:rFonts w:cs="Times New Roman"/>
          <w:spacing w:val="-11"/>
        </w:rPr>
        <w:t>心</w:t>
      </w:r>
      <w:r>
        <w:rPr>
          <w:rFonts w:hint="eastAsia" w:cs="Times New Roman"/>
          <w:spacing w:val="-11"/>
        </w:rPr>
        <w:t>建设</w:t>
      </w:r>
      <w:r>
        <w:rPr>
          <w:rFonts w:cs="Times New Roman"/>
          <w:spacing w:val="-11"/>
        </w:rPr>
        <w:t>、</w:t>
      </w:r>
      <w:r>
        <w:rPr>
          <w:rFonts w:cs="Times New Roman"/>
          <w:spacing w:val="-11"/>
          <w:szCs w:val="32"/>
        </w:rPr>
        <w:t>奋力展现中国式现代化城市范例的头雁风采</w:t>
      </w:r>
      <w:r>
        <w:rPr>
          <w:rFonts w:cs="Times New Roman"/>
          <w:spacing w:val="-11"/>
        </w:rPr>
        <w:t>具有重大指导意义。</w:t>
      </w:r>
    </w:p>
    <w:p w14:paraId="4C352C97">
      <w:pPr>
        <w:spacing w:beforeLines="0" w:afterLines="0" w:line="570" w:lineRule="exact"/>
        <w:ind w:firstLine="0"/>
        <w:jc w:val="left"/>
        <w:rPr>
          <w:rFonts w:cs="Times New Roman"/>
          <w:color w:val="000000"/>
          <w:szCs w:val="36"/>
        </w:rPr>
      </w:pPr>
      <w:bookmarkStart w:id="0" w:name="_Toc144819463"/>
      <w:bookmarkEnd w:id="0"/>
      <w:bookmarkStart w:id="1" w:name="_Toc144819646"/>
      <w:bookmarkEnd w:id="1"/>
      <w:bookmarkStart w:id="2" w:name="_Toc26243"/>
      <w:bookmarkStart w:id="3" w:name="_Toc14306"/>
      <w:bookmarkStart w:id="4" w:name="_Toc144819647"/>
      <w:bookmarkStart w:id="5" w:name="_Toc11326"/>
      <w:bookmarkStart w:id="6" w:name="_Toc2117"/>
      <w:bookmarkStart w:id="7" w:name="_Toc27969"/>
      <w:bookmarkStart w:id="8" w:name="_Toc3301"/>
      <w:bookmarkStart w:id="9" w:name="_Toc4025"/>
      <w:bookmarkStart w:id="10" w:name="_Toc23050"/>
      <w:bookmarkStart w:id="11" w:name="_Toc20430"/>
      <w:bookmarkStart w:id="12" w:name="_Toc20327"/>
      <w:bookmarkStart w:id="13" w:name="_Toc28339"/>
      <w:bookmarkStart w:id="14" w:name="_Toc4513"/>
      <w:bookmarkStart w:id="15" w:name="_Toc5"/>
      <w:r>
        <w:rPr>
          <w:rFonts w:hint="eastAsia" w:ascii="黑体" w:hAnsi="黑体" w:eastAsia="黑体"/>
          <w:color w:val="000000"/>
          <w:szCs w:val="36"/>
        </w:rPr>
        <w:t>一、《纲要》</w:t>
      </w:r>
      <w:r>
        <w:rPr>
          <w:rFonts w:hint="default" w:ascii="黑体" w:hAnsi="黑体" w:eastAsia="黑体"/>
          <w:color w:val="000000"/>
          <w:szCs w:val="36"/>
        </w:rPr>
        <w:t>总体</w:t>
      </w:r>
      <w:r>
        <w:rPr>
          <w:rFonts w:hint="eastAsia" w:ascii="黑体" w:hAnsi="黑体" w:eastAsia="黑体"/>
          <w:color w:val="000000"/>
          <w:szCs w:val="36"/>
        </w:rPr>
        <w:t>完成情况</w:t>
      </w:r>
      <w:bookmarkEnd w:id="2"/>
      <w:bookmarkEnd w:id="3"/>
      <w:bookmarkEnd w:id="4"/>
      <w:bookmarkEnd w:id="5"/>
      <w:bookmarkEnd w:id="6"/>
      <w:bookmarkEnd w:id="7"/>
      <w:bookmarkEnd w:id="8"/>
      <w:bookmarkEnd w:id="9"/>
      <w:bookmarkEnd w:id="10"/>
      <w:bookmarkEnd w:id="11"/>
      <w:bookmarkEnd w:id="12"/>
      <w:bookmarkEnd w:id="13"/>
      <w:bookmarkEnd w:id="14"/>
      <w:bookmarkEnd w:id="15"/>
    </w:p>
    <w:p w14:paraId="1DE52641">
      <w:pPr>
        <w:pStyle w:val="26"/>
        <w:spacing w:beforeLines="0" w:after="0" w:afterLines="0" w:line="570" w:lineRule="exact"/>
        <w:ind w:left="0" w:leftChars="0" w:firstLine="0"/>
        <w:jc w:val="left"/>
        <w:rPr>
          <w:rFonts w:cs="Times New Roman"/>
          <w:color w:val="000000"/>
          <w:szCs w:val="36"/>
        </w:rPr>
      </w:pPr>
      <w:r>
        <w:rPr>
          <w:rFonts w:cs="Times New Roman"/>
          <w:color w:val="000000"/>
          <w:szCs w:val="36"/>
        </w:rPr>
        <w:t>“十四五”规划实施以来，面对错综复杂的外部环境和艰巨繁重的改革发展稳定任务，全区坚持以习近平新时代中国特色社会主义思想为指导，全面贯彻党的二十大精神，持续深化“八八战略”实践，围绕推进三个“一号工程”“十项重大工程”和打好“两场硬仗”，</w:t>
      </w:r>
      <w:r>
        <w:rPr>
          <w:rFonts w:hint="eastAsia" w:cs="Times New Roman"/>
          <w:color w:val="000000"/>
          <w:szCs w:val="36"/>
        </w:rPr>
        <w:t>以</w:t>
      </w:r>
      <w:r>
        <w:rPr>
          <w:rFonts w:cs="Times New Roman"/>
          <w:color w:val="000000"/>
          <w:szCs w:val="36"/>
        </w:rPr>
        <w:t>切实扛起大区要为省市大局勇挑大梁的责任担当，纵深推进杭州城市重要新中心建设，奋力展现中国式现代化城市范例头雁风采</w:t>
      </w:r>
      <w:r>
        <w:rPr>
          <w:rFonts w:hint="eastAsia" w:cs="Times New Roman"/>
          <w:color w:val="000000"/>
          <w:szCs w:val="36"/>
        </w:rPr>
        <w:t>的奋进姿态</w:t>
      </w:r>
      <w:r>
        <w:rPr>
          <w:rStyle w:val="50"/>
          <w:rFonts w:hint="default" w:ascii="Times New Roman" w:cs="Times New Roman"/>
          <w:b w:val="0"/>
        </w:rPr>
        <w:t>，</w:t>
      </w:r>
      <w:r>
        <w:rPr>
          <w:rFonts w:cs="Times New Roman"/>
          <w:color w:val="000000"/>
          <w:szCs w:val="36"/>
        </w:rPr>
        <w:t>有序落实推进《纲要》确定的4类37项指标</w:t>
      </w:r>
      <w:r>
        <w:rPr>
          <w:rFonts w:cs="Times New Roman"/>
          <w:szCs w:val="36"/>
        </w:rPr>
        <w:t>（含细分项）</w:t>
      </w:r>
      <w:r>
        <w:rPr>
          <w:rFonts w:cs="Times New Roman"/>
          <w:color w:val="000000"/>
          <w:szCs w:val="36"/>
        </w:rPr>
        <w:t>，呈现出“</w:t>
      </w:r>
      <w:r>
        <w:rPr>
          <w:rFonts w:cs="Times New Roman"/>
          <w:b/>
          <w:bCs/>
          <w:color w:val="000000"/>
        </w:rPr>
        <w:t>经济发展硬实力走在前列</w:t>
      </w:r>
      <w:r>
        <w:rPr>
          <w:rFonts w:hint="eastAsia" w:cs="Times New Roman"/>
          <w:b/>
          <w:bCs/>
          <w:color w:val="000000"/>
        </w:rPr>
        <w:t>、</w:t>
      </w:r>
      <w:r>
        <w:rPr>
          <w:rFonts w:cs="Times New Roman"/>
          <w:b/>
          <w:bCs/>
          <w:color w:val="000000"/>
        </w:rPr>
        <w:t>创新策源带动力走在前列</w:t>
      </w:r>
      <w:r>
        <w:rPr>
          <w:rFonts w:hint="eastAsia" w:cs="Times New Roman"/>
          <w:b/>
          <w:bCs/>
          <w:color w:val="000000"/>
        </w:rPr>
        <w:t>、</w:t>
      </w:r>
      <w:r>
        <w:rPr>
          <w:rFonts w:cs="Times New Roman"/>
          <w:b/>
          <w:bCs/>
          <w:color w:val="000000"/>
        </w:rPr>
        <w:t>文化文明影响力走在前列</w:t>
      </w:r>
      <w:r>
        <w:rPr>
          <w:rFonts w:hint="eastAsia" w:cs="Times New Roman"/>
          <w:b/>
          <w:bCs/>
          <w:color w:val="000000"/>
        </w:rPr>
        <w:t>、</w:t>
      </w:r>
      <w:r>
        <w:rPr>
          <w:rFonts w:cs="Times New Roman"/>
          <w:b/>
          <w:bCs/>
          <w:color w:val="000000"/>
        </w:rPr>
        <w:t>美好生活幸福力走在前列</w:t>
      </w:r>
      <w:r>
        <w:rPr>
          <w:rFonts w:hint="eastAsia" w:cs="Times New Roman"/>
          <w:b/>
          <w:bCs/>
          <w:color w:val="000000"/>
        </w:rPr>
        <w:t>、</w:t>
      </w:r>
      <w:r>
        <w:rPr>
          <w:rFonts w:cs="Times New Roman"/>
          <w:b/>
          <w:bCs/>
          <w:color w:val="000000"/>
        </w:rPr>
        <w:t>区域治理引领力走在前列</w:t>
      </w:r>
      <w:r>
        <w:rPr>
          <w:rFonts w:hint="eastAsia" w:cs="Times New Roman"/>
          <w:b/>
          <w:bCs/>
          <w:color w:val="000000"/>
        </w:rPr>
        <w:t>、</w:t>
      </w:r>
      <w:r>
        <w:rPr>
          <w:rFonts w:cs="Times New Roman"/>
          <w:b/>
          <w:bCs/>
          <w:color w:val="000000"/>
        </w:rPr>
        <w:t>改革开放驱动力走在前列</w:t>
      </w:r>
      <w:r>
        <w:rPr>
          <w:rFonts w:hint="eastAsia" w:cs="Times New Roman"/>
          <w:b/>
          <w:color w:val="000000"/>
          <w:szCs w:val="36"/>
        </w:rPr>
        <w:t>”</w:t>
      </w:r>
      <w:r>
        <w:rPr>
          <w:rFonts w:cs="Times New Roman"/>
          <w:color w:val="000000"/>
          <w:szCs w:val="36"/>
        </w:rPr>
        <w:t>基本特征，为“十四五”</w:t>
      </w:r>
      <w:r>
        <w:rPr>
          <w:rFonts w:cs="Times New Roman"/>
        </w:rPr>
        <w:t>后半程</w:t>
      </w:r>
      <w:r>
        <w:rPr>
          <w:rFonts w:cs="Times New Roman"/>
          <w:color w:val="000000"/>
          <w:szCs w:val="36"/>
        </w:rPr>
        <w:t>经济社会发展奠定坚实基础。</w:t>
      </w:r>
    </w:p>
    <w:p w14:paraId="58AA1A7D">
      <w:pPr>
        <w:pStyle w:val="4"/>
        <w:adjustRightInd w:val="0"/>
        <w:snapToGrid w:val="0"/>
        <w:spacing w:beforeLines="0" w:afterLines="0" w:line="570" w:lineRule="exact"/>
        <w:ind w:firstLine="0"/>
        <w:jc w:val="left"/>
        <w:rPr>
          <w:rFonts w:cs="Times New Roman"/>
        </w:rPr>
      </w:pPr>
      <w:bookmarkStart w:id="16" w:name="_Toc11274"/>
      <w:bookmarkStart w:id="17" w:name="_Toc5261"/>
      <w:r>
        <w:rPr>
          <w:rFonts w:cs="Times New Roman"/>
        </w:rPr>
        <w:t>1</w:t>
      </w:r>
      <w:r>
        <w:rPr>
          <w:rFonts w:hint="eastAsia" w:cs="Times New Roman"/>
        </w:rPr>
        <w:t>.</w:t>
      </w:r>
      <w:r>
        <w:rPr>
          <w:rFonts w:cs="Times New Roman"/>
        </w:rPr>
        <w:t>经济发展质效提升</w:t>
      </w:r>
      <w:bookmarkEnd w:id="16"/>
      <w:bookmarkEnd w:id="17"/>
    </w:p>
    <w:p w14:paraId="60E568B9">
      <w:pPr>
        <w:adjustRightInd w:val="0"/>
        <w:snapToGrid w:val="0"/>
        <w:spacing w:beforeLines="0" w:afterLines="0" w:line="570" w:lineRule="exact"/>
        <w:ind w:firstLine="0"/>
        <w:jc w:val="left"/>
        <w:rPr>
          <w:rFonts w:cs="Times New Roman"/>
          <w:color w:val="000000"/>
          <w:szCs w:val="32"/>
        </w:rPr>
      </w:pPr>
      <w:r>
        <w:rPr>
          <w:rFonts w:cs="Times New Roman"/>
          <w:szCs w:val="32"/>
        </w:rPr>
        <w:t>“十四五”前半程，余杭区经济发展质效提升显著。2023年上半年，高新技术产业增加值占规模以上工业增加值比重、网络零售额、货物贸易进出口总额、全员劳动生产率等多项指标均已提前实现《纲要》目标值。地区生产总值、财政总收入、规模以上工业增加值、服务业增加值、社会消费品零售总额</w:t>
      </w:r>
      <w:r>
        <w:rPr>
          <w:rFonts w:cs="Times New Roman"/>
          <w:color w:val="000000"/>
          <w:szCs w:val="32"/>
        </w:rPr>
        <w:t>均达到时序进度。实际利用外资较前两年有明显回升。全区上市企业数量达32家，增长迅速。</w:t>
      </w:r>
    </w:p>
    <w:p w14:paraId="20A89B1A">
      <w:pPr>
        <w:pStyle w:val="4"/>
        <w:adjustRightInd w:val="0"/>
        <w:snapToGrid w:val="0"/>
        <w:spacing w:beforeLines="0" w:afterLines="0" w:line="570" w:lineRule="exact"/>
        <w:ind w:firstLine="0"/>
        <w:jc w:val="left"/>
        <w:rPr>
          <w:rFonts w:cs="Times New Roman"/>
          <w:color w:val="000000"/>
        </w:rPr>
      </w:pPr>
      <w:bookmarkStart w:id="18" w:name="_Toc28829"/>
      <w:bookmarkStart w:id="19" w:name="_Toc8156"/>
      <w:r>
        <w:rPr>
          <w:rFonts w:cs="Times New Roman"/>
          <w:color w:val="000000"/>
        </w:rPr>
        <w:t>2</w:t>
      </w:r>
      <w:r>
        <w:rPr>
          <w:rFonts w:hint="eastAsia" w:cs="Times New Roman"/>
          <w:color w:val="000000"/>
        </w:rPr>
        <w:t>.</w:t>
      </w:r>
      <w:r>
        <w:rPr>
          <w:rFonts w:cs="Times New Roman"/>
          <w:color w:val="000000"/>
        </w:rPr>
        <w:t>科技创新活力涌现</w:t>
      </w:r>
      <w:bookmarkEnd w:id="18"/>
      <w:bookmarkEnd w:id="19"/>
    </w:p>
    <w:p w14:paraId="5FC55EC6">
      <w:pPr>
        <w:pStyle w:val="26"/>
        <w:adjustRightInd w:val="0"/>
        <w:snapToGrid w:val="0"/>
        <w:spacing w:beforeLines="0" w:after="0" w:afterLines="0" w:line="570" w:lineRule="exact"/>
        <w:ind w:left="0" w:leftChars="0" w:firstLine="0"/>
        <w:jc w:val="left"/>
        <w:rPr>
          <w:rFonts w:cs="Times New Roman"/>
        </w:rPr>
      </w:pPr>
      <w:r>
        <w:rPr>
          <w:rFonts w:cs="Times New Roman"/>
        </w:rPr>
        <w:t>“十四五”前半程，余杭区</w:t>
      </w:r>
      <w:r>
        <w:rPr>
          <w:rFonts w:hint="eastAsia" w:cs="Times New Roman"/>
        </w:rPr>
        <w:t>科技创新活力不断涌现。</w:t>
      </w:r>
      <w:r>
        <w:rPr>
          <w:rFonts w:cs="Times New Roman"/>
        </w:rPr>
        <w:t>R&amp;D经费支出占GDP比重、每万人发明专利拥有量等多项指标均已提前实现《纲要》目标值，2022年余杭科技创新指数跃居全省第2。人才资源总量、高新技术企业数量、科技型中小企业数量</w:t>
      </w:r>
      <w:r>
        <w:rPr>
          <w:rFonts w:cs="Times New Roman"/>
          <w:color w:val="000000"/>
        </w:rPr>
        <w:t>均达到时序进度。</w:t>
      </w:r>
      <w:r>
        <w:rPr>
          <w:rFonts w:cs="Times New Roman"/>
        </w:rPr>
        <w:t>省级以上孵化器数量较前两年有所提升。2023年上半年数字经济核心产业增加值总量全省第一，增速全市第一。</w:t>
      </w:r>
    </w:p>
    <w:p w14:paraId="5A2EC368">
      <w:pPr>
        <w:pStyle w:val="4"/>
        <w:adjustRightInd w:val="0"/>
        <w:snapToGrid w:val="0"/>
        <w:spacing w:beforeLines="0" w:afterLines="0" w:line="570" w:lineRule="exact"/>
        <w:ind w:firstLine="0"/>
        <w:jc w:val="left"/>
        <w:rPr>
          <w:rFonts w:cs="Times New Roman"/>
        </w:rPr>
      </w:pPr>
      <w:bookmarkStart w:id="20" w:name="_Toc30357"/>
      <w:bookmarkStart w:id="21" w:name="_Toc14470"/>
      <w:r>
        <w:rPr>
          <w:rFonts w:cs="Times New Roman"/>
        </w:rPr>
        <w:t>3</w:t>
      </w:r>
      <w:r>
        <w:rPr>
          <w:rFonts w:hint="eastAsia" w:cs="Times New Roman"/>
        </w:rPr>
        <w:t>.</w:t>
      </w:r>
      <w:r>
        <w:rPr>
          <w:rFonts w:cs="Times New Roman"/>
        </w:rPr>
        <w:t>社会民生持续优化</w:t>
      </w:r>
      <w:bookmarkEnd w:id="20"/>
      <w:bookmarkEnd w:id="21"/>
    </w:p>
    <w:p w14:paraId="1A4028DF">
      <w:pPr>
        <w:adjustRightInd w:val="0"/>
        <w:snapToGrid w:val="0"/>
        <w:spacing w:beforeLines="0" w:afterLines="0" w:line="570" w:lineRule="exact"/>
        <w:ind w:firstLine="0"/>
        <w:jc w:val="left"/>
        <w:rPr>
          <w:rFonts w:cs="Times New Roman"/>
          <w:szCs w:val="32"/>
        </w:rPr>
      </w:pPr>
      <w:r>
        <w:rPr>
          <w:rFonts w:cs="Times New Roman"/>
          <w:szCs w:val="32"/>
        </w:rPr>
        <w:t>“十四五”前半程</w:t>
      </w:r>
      <w:r>
        <w:rPr>
          <w:rFonts w:hint="eastAsia" w:cs="Times New Roman"/>
          <w:szCs w:val="32"/>
        </w:rPr>
        <w:t>，余杭区社会民生持续优化。</w:t>
      </w:r>
      <w:r>
        <w:rPr>
          <w:rFonts w:cs="Times New Roman"/>
          <w:szCs w:val="32"/>
        </w:rPr>
        <w:t>生产安全维持稳定，亿元GDP生产安全事故死亡率提前实现《纲要》目标值。共同富裕率先取得实质性重大进展，城乡居民人均可支配收入比缩小至1.56，达到《纲要》“≤1.58”的目标要求。五年新增城镇就业人数、每千人拥有3岁以下婴幼儿托位数进度超前，居民人均可支配收入增长百分比进度正常。每千人口拥有执业（助理）医师数较前两年有明显增长。</w:t>
      </w:r>
    </w:p>
    <w:p w14:paraId="79F9B4DD">
      <w:pPr>
        <w:pStyle w:val="4"/>
        <w:adjustRightInd w:val="0"/>
        <w:snapToGrid w:val="0"/>
        <w:spacing w:beforeLines="0" w:afterLines="0" w:line="570" w:lineRule="exact"/>
        <w:ind w:firstLine="0"/>
        <w:jc w:val="left"/>
        <w:rPr>
          <w:rFonts w:cs="Times New Roman"/>
        </w:rPr>
      </w:pPr>
      <w:bookmarkStart w:id="22" w:name="_Toc26713"/>
      <w:bookmarkStart w:id="23" w:name="_Toc28582"/>
      <w:r>
        <w:rPr>
          <w:rFonts w:cs="Times New Roman"/>
        </w:rPr>
        <w:t>4</w:t>
      </w:r>
      <w:r>
        <w:rPr>
          <w:rFonts w:hint="eastAsia" w:cs="Times New Roman"/>
        </w:rPr>
        <w:t>.</w:t>
      </w:r>
      <w:r>
        <w:rPr>
          <w:rFonts w:cs="Times New Roman"/>
        </w:rPr>
        <w:t>生态环境不断改善</w:t>
      </w:r>
      <w:bookmarkEnd w:id="22"/>
      <w:bookmarkEnd w:id="23"/>
    </w:p>
    <w:p w14:paraId="66EC89AE">
      <w:pPr>
        <w:adjustRightInd w:val="0"/>
        <w:snapToGrid w:val="0"/>
        <w:spacing w:beforeLines="0" w:afterLines="0" w:line="570" w:lineRule="exact"/>
        <w:ind w:firstLine="0"/>
        <w:jc w:val="left"/>
        <w:rPr>
          <w:rFonts w:cs="Times New Roman"/>
          <w:color w:val="000000"/>
          <w:szCs w:val="32"/>
        </w:rPr>
      </w:pPr>
      <w:r>
        <w:rPr>
          <w:rFonts w:cs="Times New Roman"/>
          <w:szCs w:val="32"/>
        </w:rPr>
        <w:t>“十四五”前半程，</w:t>
      </w:r>
      <w:r>
        <w:rPr>
          <w:rFonts w:hint="eastAsia" w:cs="Times New Roman"/>
          <w:szCs w:val="32"/>
        </w:rPr>
        <w:t>余杭区生态环境不断改善。</w:t>
      </w:r>
      <w:r>
        <w:rPr>
          <w:rFonts w:cs="Times New Roman"/>
          <w:color w:val="000000"/>
          <w:szCs w:val="32"/>
        </w:rPr>
        <w:t>生态质量承压向好，单位GDP二氧化碳排放降低百分比、主要河流III类以上水质断面比例、空气质量优良天数比率、细颗粒物（PM</w:t>
      </w:r>
      <w:r>
        <w:rPr>
          <w:rFonts w:cs="Times New Roman"/>
          <w:color w:val="000000"/>
          <w:szCs w:val="32"/>
          <w:vertAlign w:val="subscript"/>
        </w:rPr>
        <w:t>2.5</w:t>
      </w:r>
      <w:r>
        <w:rPr>
          <w:rFonts w:cs="Times New Roman"/>
          <w:color w:val="000000"/>
          <w:szCs w:val="32"/>
        </w:rPr>
        <w:t>）平均浓度、主要污染物总量下降已提前实现《纲要》目标值。单位GDP综合能耗降低、单位GDP用水量降低、生活垃圾日均回收利用量均进度超前。</w:t>
      </w:r>
    </w:p>
    <w:p w14:paraId="2693EF3E">
      <w:pPr>
        <w:pStyle w:val="2"/>
        <w:numPr>
          <w:ilvl w:val="0"/>
          <w:numId w:val="0"/>
        </w:numPr>
        <w:adjustRightInd w:val="0"/>
        <w:snapToGrid w:val="0"/>
        <w:spacing w:beforeLines="0" w:afterLines="0" w:line="570" w:lineRule="exact"/>
        <w:ind w:firstLine="0"/>
        <w:jc w:val="left"/>
        <w:rPr>
          <w:rFonts w:cs="Times New Roman"/>
          <w:bCs w:val="0"/>
          <w:color w:val="000000"/>
          <w:kern w:val="2"/>
          <w:szCs w:val="36"/>
        </w:rPr>
      </w:pPr>
      <w:bookmarkStart w:id="24" w:name="_Toc144819652"/>
      <w:bookmarkStart w:id="25" w:name="_Toc1421"/>
      <w:bookmarkStart w:id="26" w:name="_Toc10288"/>
      <w:bookmarkStart w:id="27" w:name="_Toc27929"/>
      <w:bookmarkStart w:id="28" w:name="_Toc21520"/>
      <w:bookmarkStart w:id="29" w:name="_Toc29256"/>
      <w:bookmarkStart w:id="30" w:name="_Toc30945"/>
      <w:r>
        <w:rPr>
          <w:rFonts w:hint="default" w:cs="Times New Roman"/>
          <w:bCs w:val="0"/>
          <w:color w:val="000000"/>
          <w:kern w:val="2"/>
          <w:szCs w:val="36"/>
        </w:rPr>
        <w:t xml:space="preserve">    二、</w:t>
      </w:r>
      <w:r>
        <w:rPr>
          <w:rFonts w:hint="eastAsia" w:cs="Times New Roman"/>
          <w:bCs w:val="0"/>
          <w:color w:val="000000"/>
          <w:kern w:val="2"/>
          <w:szCs w:val="36"/>
        </w:rPr>
        <w:t>《纲要》主要任务推进情况评估</w:t>
      </w:r>
      <w:bookmarkEnd w:id="24"/>
      <w:bookmarkEnd w:id="25"/>
      <w:bookmarkEnd w:id="26"/>
      <w:bookmarkEnd w:id="27"/>
      <w:bookmarkEnd w:id="28"/>
      <w:bookmarkEnd w:id="29"/>
      <w:bookmarkEnd w:id="30"/>
    </w:p>
    <w:p w14:paraId="4B13EDE4">
      <w:pPr>
        <w:adjustRightInd w:val="0"/>
        <w:snapToGrid w:val="0"/>
        <w:spacing w:beforeLines="0" w:afterLines="0" w:line="570" w:lineRule="exact"/>
        <w:ind w:firstLine="640"/>
        <w:jc w:val="left"/>
        <w:rPr>
          <w:rFonts w:cs="Times New Roman"/>
        </w:rPr>
      </w:pPr>
      <w:r>
        <w:rPr>
          <w:rFonts w:cs="Times New Roman"/>
          <w:szCs w:val="24"/>
        </w:rPr>
        <w:t>“十四五”前半程，全区上下深入贯彻落实省、市、区委各项决策部署，在</w:t>
      </w:r>
      <w:r>
        <w:rPr>
          <w:rFonts w:cs="Times New Roman"/>
        </w:rPr>
        <w:t>科创引领、产业集聚、数字改革、开放合作、</w:t>
      </w:r>
      <w:r>
        <w:rPr>
          <w:rFonts w:hint="eastAsia" w:cs="Times New Roman"/>
        </w:rPr>
        <w:t>城乡融合</w:t>
      </w:r>
      <w:r>
        <w:rPr>
          <w:rFonts w:cs="Times New Roman"/>
        </w:rPr>
        <w:t>、基础设施、文化建设、生态文明、社会民生等九大领域实现提升突破，形成一批标志性成果，从而有力支撑全区经济社会各领域的高质量协调发展。</w:t>
      </w:r>
    </w:p>
    <w:p w14:paraId="7E7100FA">
      <w:pPr>
        <w:pStyle w:val="3"/>
        <w:widowControl/>
        <w:adjustRightInd w:val="0"/>
        <w:snapToGrid w:val="0"/>
        <w:spacing w:beforeLines="0" w:afterLines="0" w:line="570" w:lineRule="exact"/>
        <w:ind w:firstLine="640" w:firstLineChars="200"/>
        <w:jc w:val="left"/>
      </w:pPr>
      <w:bookmarkStart w:id="31" w:name="_Toc1545"/>
      <w:bookmarkStart w:id="32" w:name="_Toc7867"/>
      <w:bookmarkStart w:id="33" w:name="_Toc906"/>
      <w:bookmarkStart w:id="34" w:name="_Toc21170"/>
      <w:bookmarkStart w:id="35" w:name="_Toc20023"/>
      <w:bookmarkStart w:id="36" w:name="_Toc16230"/>
      <w:bookmarkStart w:id="37" w:name="_Toc31591"/>
      <w:bookmarkStart w:id="38" w:name="_Toc27582"/>
      <w:bookmarkStart w:id="39" w:name="_Toc18983"/>
      <w:bookmarkStart w:id="40" w:name="_Toc13734"/>
      <w:bookmarkStart w:id="41" w:name="_Toc144819653"/>
      <w:bookmarkStart w:id="42" w:name="_Toc28275"/>
      <w:bookmarkStart w:id="43" w:name="_Toc7020"/>
      <w:bookmarkStart w:id="44" w:name="_Toc24724"/>
      <w:r>
        <w:rPr>
          <w:rFonts w:hint="eastAsia"/>
        </w:rPr>
        <w:t>（一）</w:t>
      </w:r>
      <w:r>
        <w:t>创新策源能级不断提升</w:t>
      </w:r>
      <w:bookmarkEnd w:id="31"/>
      <w:bookmarkEnd w:id="32"/>
      <w:bookmarkEnd w:id="33"/>
      <w:bookmarkEnd w:id="34"/>
      <w:bookmarkEnd w:id="35"/>
      <w:bookmarkEnd w:id="36"/>
      <w:bookmarkEnd w:id="37"/>
      <w:bookmarkEnd w:id="38"/>
      <w:bookmarkEnd w:id="39"/>
      <w:bookmarkEnd w:id="40"/>
      <w:bookmarkEnd w:id="41"/>
      <w:bookmarkEnd w:id="42"/>
      <w:bookmarkEnd w:id="43"/>
      <w:bookmarkEnd w:id="44"/>
    </w:p>
    <w:p w14:paraId="627925B0">
      <w:pPr>
        <w:widowControl/>
        <w:adjustRightInd w:val="0"/>
        <w:snapToGrid w:val="0"/>
        <w:spacing w:beforeLines="0" w:afterLines="0" w:line="570" w:lineRule="exact"/>
        <w:ind w:firstLine="640"/>
        <w:jc w:val="left"/>
        <w:rPr>
          <w:rFonts w:cs="Times New Roman"/>
          <w:szCs w:val="32"/>
        </w:rPr>
      </w:pPr>
      <w:r>
        <w:rPr>
          <w:rFonts w:cs="Times New Roman"/>
          <w:szCs w:val="24"/>
        </w:rPr>
        <w:t>积极主动承接城西科创大走廊等重大战略，</w:t>
      </w:r>
      <w:r>
        <w:rPr>
          <w:rFonts w:cs="Times New Roman"/>
          <w:szCs w:val="32"/>
        </w:rPr>
        <w:t>综合性国家科学中心核心承载区</w:t>
      </w:r>
      <w:r>
        <w:rPr>
          <w:rFonts w:cs="Times New Roman"/>
          <w:szCs w:val="24"/>
        </w:rPr>
        <w:t>全力</w:t>
      </w:r>
      <w:r>
        <w:rPr>
          <w:rFonts w:cs="Times New Roman"/>
          <w:szCs w:val="32"/>
        </w:rPr>
        <w:t>创建，资金、土地、项目、人才等要素资源进一步向重点产业平台集聚，具有核心竞争力的全域创新策源地</w:t>
      </w:r>
      <w:r>
        <w:rPr>
          <w:rFonts w:hint="eastAsia" w:cs="Times New Roman"/>
          <w:szCs w:val="32"/>
        </w:rPr>
        <w:t>持续</w:t>
      </w:r>
      <w:r>
        <w:rPr>
          <w:rFonts w:cs="Times New Roman"/>
          <w:szCs w:val="32"/>
        </w:rPr>
        <w:t>打造。</w:t>
      </w:r>
    </w:p>
    <w:p w14:paraId="5277C1E9">
      <w:pPr>
        <w:pStyle w:val="4"/>
        <w:widowControl/>
        <w:spacing w:beforeLines="0" w:afterLines="0" w:line="570" w:lineRule="exact"/>
        <w:ind w:firstLine="640"/>
        <w:jc w:val="left"/>
        <w:rPr>
          <w:rFonts w:cs="Times New Roman"/>
          <w:b w:val="0"/>
          <w:bCs w:val="0"/>
        </w:rPr>
      </w:pPr>
      <w:bookmarkStart w:id="45" w:name="_Toc1100"/>
      <w:bookmarkStart w:id="46" w:name="_Toc25043"/>
      <w:r>
        <w:rPr>
          <w:rFonts w:hint="eastAsia" w:cs="Times New Roman"/>
          <w:lang w:val="en-US" w:eastAsia="zh-CN"/>
        </w:rPr>
        <w:t>1.</w:t>
      </w:r>
      <w:r>
        <w:rPr>
          <w:rFonts w:cs="Times New Roman"/>
        </w:rPr>
        <w:t>国际化高端人才特区加速构建</w:t>
      </w:r>
      <w:bookmarkEnd w:id="45"/>
      <w:bookmarkEnd w:id="46"/>
      <w:r>
        <w:rPr>
          <w:rFonts w:cs="Times New Roman"/>
        </w:rPr>
        <w:t>。</w:t>
      </w:r>
      <w:r>
        <w:rPr>
          <w:rFonts w:cs="Times New Roman"/>
          <w:b w:val="0"/>
          <w:bCs w:val="0"/>
          <w:szCs w:val="32"/>
        </w:rPr>
        <w:t>持续完善人才政策体系，出台人才新政“黄金20条”，制定人才创新创业扶持、高层次人才认定、住房保障等相关政策细则10余项，积极回应人才关切，持续建设人才共有产权房。</w:t>
      </w:r>
      <w:r>
        <w:rPr>
          <w:rFonts w:cs="Times New Roman"/>
          <w:b w:val="0"/>
          <w:bCs w:val="0"/>
        </w:rPr>
        <w:t>深化“人才贷+人才投+人才保”金融支持系统，设立人力资源服务专区，设置“青年来余”“人才有为”两大专窗，提升高端人才创新创业的服务质效。围绕人才和项目引育，构建了人才全生命周期管理体系，不断深化人才项目长期追踪管理机制。迭代余杭人才码，整合纳入人才急需的住房、医疗、子女教育、文体等服务事项，围绕人才e点加强人才服务线上兑现平台运营。</w:t>
      </w:r>
    </w:p>
    <w:p w14:paraId="717BE2E9">
      <w:pPr>
        <w:pStyle w:val="4"/>
        <w:spacing w:beforeLines="0" w:afterLines="0" w:line="570" w:lineRule="exact"/>
        <w:ind w:firstLine="640"/>
        <w:jc w:val="left"/>
        <w:rPr>
          <w:rFonts w:cs="Times New Roman"/>
          <w:b w:val="0"/>
          <w:bCs w:val="0"/>
          <w:szCs w:val="32"/>
        </w:rPr>
      </w:pPr>
      <w:bookmarkStart w:id="47" w:name="_Toc12273"/>
      <w:bookmarkStart w:id="48" w:name="_Toc32013"/>
      <w:r>
        <w:rPr>
          <w:rFonts w:hint="eastAsia" w:cs="Times New Roman"/>
          <w:lang w:val="en-US" w:eastAsia="zh-CN"/>
        </w:rPr>
        <w:t>2.</w:t>
      </w:r>
      <w:r>
        <w:rPr>
          <w:rFonts w:cs="Times New Roman"/>
        </w:rPr>
        <w:t>全球创新策源地名片持续擦亮</w:t>
      </w:r>
      <w:bookmarkEnd w:id="47"/>
      <w:bookmarkEnd w:id="48"/>
      <w:r>
        <w:rPr>
          <w:rFonts w:cs="Times New Roman"/>
        </w:rPr>
        <w:t>。</w:t>
      </w:r>
      <w:r>
        <w:rPr>
          <w:rFonts w:cs="Times New Roman"/>
          <w:b w:val="0"/>
          <w:bCs w:val="0"/>
        </w:rPr>
        <w:t>以超常规力度推进科研重器集群发展，浙大超重力大科学装置顺利封顶，中电海康获批建设全国重点实验室，之江实验室入选首批国家公共算力开放平台，天目山实验室顺利揭牌，脑机智能全国重点实验室入驻良渚实验室，湖畔实验室主体完工，“深时数字地球国际大科学计划”项目顺利实施。</w:t>
      </w:r>
      <w:r>
        <w:rPr>
          <w:rFonts w:hint="eastAsia" w:cs="Times New Roman"/>
          <w:b w:val="0"/>
          <w:bCs w:val="0"/>
        </w:rPr>
        <w:t>连续3年被授予全省科技创新最高荣誉“科技创新鼎”。</w:t>
      </w:r>
      <w:r>
        <w:rPr>
          <w:rFonts w:cs="Times New Roman"/>
          <w:b w:val="0"/>
          <w:bCs w:val="0"/>
        </w:rPr>
        <w:t>科技成果转化平台建设有力推进，引进杭州科技成果转移转化中心，浙江创新馆（过渡馆）基本建成。实验室成果转化初见成效，之科智慧、量安科技、跃真生物等十余家转化企业落户余杭，成功打造“实验室系”企业样板。</w:t>
      </w:r>
    </w:p>
    <w:p w14:paraId="4627875A">
      <w:pPr>
        <w:pStyle w:val="4"/>
        <w:spacing w:beforeLines="0" w:afterLines="0" w:line="570" w:lineRule="exact"/>
        <w:ind w:firstLine="640"/>
        <w:jc w:val="left"/>
        <w:rPr>
          <w:rFonts w:cs="Times New Roman"/>
        </w:rPr>
      </w:pPr>
      <w:bookmarkStart w:id="49" w:name="_Toc32022"/>
      <w:bookmarkStart w:id="50" w:name="_Toc12217"/>
      <w:r>
        <w:rPr>
          <w:rFonts w:hint="eastAsia" w:cs="Times New Roman"/>
          <w:lang w:val="en-US" w:eastAsia="zh-CN"/>
        </w:rPr>
        <w:t>3.</w:t>
      </w:r>
      <w:r>
        <w:rPr>
          <w:rFonts w:cs="Times New Roman"/>
        </w:rPr>
        <w:t>企业主体创新能级日益增强</w:t>
      </w:r>
      <w:bookmarkEnd w:id="49"/>
      <w:bookmarkEnd w:id="50"/>
      <w:r>
        <w:rPr>
          <w:rFonts w:cs="Times New Roman"/>
        </w:rPr>
        <w:t>。</w:t>
      </w:r>
      <w:r>
        <w:rPr>
          <w:rFonts w:cs="Times New Roman"/>
          <w:b w:val="0"/>
          <w:bCs w:val="0"/>
        </w:rPr>
        <w:t>截至2022年，全区共有国家高新技术企业21</w:t>
      </w:r>
      <w:r>
        <w:rPr>
          <w:rFonts w:hint="eastAsia" w:cs="Times New Roman"/>
          <w:b w:val="0"/>
          <w:bCs w:val="0"/>
        </w:rPr>
        <w:t>80</w:t>
      </w:r>
      <w:r>
        <w:rPr>
          <w:rFonts w:cs="Times New Roman"/>
          <w:b w:val="0"/>
          <w:bCs w:val="0"/>
        </w:rPr>
        <w:t>家，浙江省科技型中小企业3577家。强力推进创新链产业链深度融合，首次实现规上制造业企业研发“两清零”，R&amp;D占GDP比重预计达4.55%（2022年数据），提前达到</w:t>
      </w:r>
      <w:r>
        <w:rPr>
          <w:rFonts w:hint="eastAsia" w:cs="Times New Roman"/>
          <w:b w:val="0"/>
          <w:bCs w:val="0"/>
        </w:rPr>
        <w:t>“</w:t>
      </w:r>
      <w:r>
        <w:rPr>
          <w:rFonts w:cs="Times New Roman"/>
          <w:b w:val="0"/>
          <w:bCs w:val="0"/>
        </w:rPr>
        <w:t>十四五</w:t>
      </w:r>
      <w:r>
        <w:rPr>
          <w:rFonts w:hint="eastAsia" w:cs="Times New Roman"/>
          <w:b w:val="0"/>
          <w:bCs w:val="0"/>
        </w:rPr>
        <w:t>”</w:t>
      </w:r>
      <w:r>
        <w:rPr>
          <w:rFonts w:cs="Times New Roman"/>
          <w:b w:val="0"/>
          <w:bCs w:val="0"/>
        </w:rPr>
        <w:t>规划目标，创历史最高。引导支持企业聚焦产业科技需求，全力拓展“科研机构+”模式，2022年全区新增省级新型研发机构2家、省级企业研发机构59家。</w:t>
      </w:r>
    </w:p>
    <w:p w14:paraId="00ED7C0A">
      <w:pPr>
        <w:pStyle w:val="4"/>
        <w:numPr>
          <w:ilvl w:val="0"/>
          <w:numId w:val="1"/>
        </w:numPr>
        <w:adjustRightInd w:val="0"/>
        <w:snapToGrid w:val="0"/>
        <w:spacing w:beforeLines="0" w:afterLines="0" w:line="570" w:lineRule="exact"/>
        <w:ind w:firstLine="641"/>
        <w:jc w:val="left"/>
        <w:rPr>
          <w:rFonts w:cs="Times New Roman"/>
        </w:rPr>
      </w:pPr>
      <w:bookmarkStart w:id="51" w:name="_Toc21595"/>
      <w:bookmarkStart w:id="52" w:name="_Toc8406"/>
      <w:r>
        <w:rPr>
          <w:rFonts w:cs="Times New Roman"/>
        </w:rPr>
        <w:t>世界一流创新生态持续优化</w:t>
      </w:r>
      <w:bookmarkEnd w:id="51"/>
      <w:bookmarkEnd w:id="52"/>
      <w:r>
        <w:rPr>
          <w:rFonts w:cs="Times New Roman"/>
        </w:rPr>
        <w:t>。</w:t>
      </w:r>
      <w:r>
        <w:rPr>
          <w:rFonts w:cs="Times New Roman"/>
          <w:b w:val="0"/>
          <w:bCs w:val="0"/>
          <w:szCs w:val="22"/>
        </w:rPr>
        <w:t>加快完善“实验室-孵化器-加速器-专业化园区”产业孵化链条，2022年，新增3家国家级科技企业孵化器、6家国家级众创空间，新增17家市级孵化器、6家市级企业创新联合体。深化银担合作，切实服务区内中小微企业，</w:t>
      </w:r>
      <w:r>
        <w:rPr>
          <w:rFonts w:hint="eastAsia" w:cs="Times New Roman"/>
          <w:b w:val="0"/>
          <w:bCs w:val="0"/>
          <w:szCs w:val="22"/>
        </w:rPr>
        <w:t>提升担保服务质效</w:t>
      </w:r>
      <w:r>
        <w:rPr>
          <w:rFonts w:cs="Times New Roman"/>
          <w:b w:val="0"/>
          <w:bCs w:val="0"/>
          <w:szCs w:val="22"/>
        </w:rPr>
        <w:t>。加强政府产业基金投资，出台《余杭区服务券创新创业服务商管理办法（试行）》，完成余杭区创新创业服务商入库工作，目前全区共有财税服务、科技申报、技术服务、人力资源、法律服务等近200家服务商纳入服务库。</w:t>
      </w:r>
    </w:p>
    <w:p w14:paraId="01EE8BC1">
      <w:pPr>
        <w:pStyle w:val="3"/>
        <w:adjustRightInd w:val="0"/>
        <w:snapToGrid w:val="0"/>
        <w:spacing w:beforeLines="0" w:afterLines="0" w:line="570" w:lineRule="exact"/>
        <w:ind w:firstLine="0"/>
        <w:jc w:val="left"/>
        <w:rPr>
          <w:rFonts w:cs="Times New Roman"/>
        </w:rPr>
      </w:pPr>
      <w:bookmarkStart w:id="53" w:name="_Toc13233"/>
      <w:bookmarkStart w:id="54" w:name="_Toc2034"/>
      <w:bookmarkStart w:id="55" w:name="_Toc13875"/>
      <w:bookmarkStart w:id="56" w:name="_Toc17692"/>
      <w:bookmarkStart w:id="57" w:name="_Toc6296"/>
      <w:bookmarkStart w:id="58" w:name="_Toc8456"/>
      <w:bookmarkStart w:id="59" w:name="_Toc14796"/>
      <w:bookmarkStart w:id="60" w:name="_Toc3803"/>
      <w:bookmarkStart w:id="61" w:name="_Toc21749"/>
      <w:bookmarkStart w:id="62" w:name="_Toc16124"/>
      <w:bookmarkStart w:id="63" w:name="_Toc8312"/>
      <w:bookmarkStart w:id="64" w:name="_Toc27095"/>
      <w:bookmarkStart w:id="65" w:name="_Toc27511"/>
      <w:bookmarkStart w:id="66" w:name="_Toc144819654"/>
      <w:r>
        <w:rPr>
          <w:rFonts w:cs="Times New Roman"/>
        </w:rPr>
        <w:t>（二）现代产业体系逐步构建</w:t>
      </w:r>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75DE6BD2">
      <w:pPr>
        <w:adjustRightInd w:val="0"/>
        <w:snapToGrid w:val="0"/>
        <w:spacing w:beforeLines="0" w:afterLines="0" w:line="570" w:lineRule="exact"/>
        <w:ind w:firstLine="0"/>
        <w:jc w:val="left"/>
        <w:rPr>
          <w:rFonts w:cs="Times New Roman"/>
        </w:rPr>
      </w:pPr>
      <w:r>
        <w:rPr>
          <w:rFonts w:cs="Times New Roman"/>
        </w:rPr>
        <w:t>以数字经济为核心、新经济为引领、制造业为基石的现代产业体系加快构建，产业发展能级得到全面提升。</w:t>
      </w:r>
    </w:p>
    <w:p w14:paraId="550FF236">
      <w:pPr>
        <w:pStyle w:val="4"/>
        <w:spacing w:beforeLines="0" w:afterLines="0" w:line="570" w:lineRule="exact"/>
        <w:ind w:firstLine="0"/>
        <w:jc w:val="left"/>
        <w:rPr>
          <w:rFonts w:cs="Times New Roman"/>
          <w:b w:val="0"/>
          <w:bCs w:val="0"/>
          <w:color w:val="000000"/>
        </w:rPr>
      </w:pPr>
      <w:bookmarkStart w:id="67" w:name="_Toc20576"/>
      <w:bookmarkStart w:id="68" w:name="_Toc1929"/>
      <w:r>
        <w:rPr>
          <w:rFonts w:cs="Times New Roman"/>
        </w:rPr>
        <w:t>1</w:t>
      </w:r>
      <w:r>
        <w:rPr>
          <w:rFonts w:hint="eastAsia" w:cs="Times New Roman"/>
        </w:rPr>
        <w:t>.</w:t>
      </w:r>
      <w:r>
        <w:rPr>
          <w:rFonts w:cs="Times New Roman"/>
        </w:rPr>
        <w:t>“四高地一基地”建设</w:t>
      </w:r>
      <w:bookmarkEnd w:id="67"/>
      <w:bookmarkEnd w:id="68"/>
      <w:r>
        <w:rPr>
          <w:rFonts w:cs="Times New Roman"/>
        </w:rPr>
        <w:t>富有成效。</w:t>
      </w:r>
      <w:r>
        <w:rPr>
          <w:rFonts w:cs="Times New Roman"/>
          <w:b w:val="0"/>
          <w:bCs w:val="0"/>
          <w:szCs w:val="24"/>
        </w:rPr>
        <w:t>深入实施数字经济创新提质“一号发展工程”，</w:t>
      </w:r>
      <w:r>
        <w:rPr>
          <w:rFonts w:cs="Times New Roman"/>
          <w:b w:val="0"/>
          <w:bCs w:val="0"/>
        </w:rPr>
        <w:t>入选“浙江制造”高端软件特色产业集群核心区、首批省级人工智能“新星”产业群。制定全区生物医药产业创新发展规划，放大数字·健康产业园、良渚生命科技小镇两大平台创新引领效应。</w:t>
      </w:r>
      <w:r>
        <w:rPr>
          <w:rFonts w:hint="eastAsia" w:cs="Times New Roman"/>
          <w:b w:val="0"/>
          <w:bCs w:val="0"/>
        </w:rPr>
        <w:t>成功创建未来网络省“万亩千亿”产业平台，</w:t>
      </w:r>
      <w:r>
        <w:rPr>
          <w:rFonts w:cs="Times New Roman"/>
          <w:b w:val="0"/>
          <w:bCs w:val="0"/>
        </w:rPr>
        <w:t>杭州城西科创大走廊人工智能入选全省首批未来产业先导区</w:t>
      </w:r>
      <w:r>
        <w:rPr>
          <w:rFonts w:hint="eastAsia" w:cs="Times New Roman"/>
          <w:b w:val="0"/>
          <w:bCs w:val="0"/>
        </w:rPr>
        <w:t>培育</w:t>
      </w:r>
      <w:r>
        <w:rPr>
          <w:rFonts w:cs="Times New Roman"/>
          <w:b w:val="0"/>
          <w:bCs w:val="0"/>
        </w:rPr>
        <w:t>创建名单。</w:t>
      </w:r>
      <w:r>
        <w:rPr>
          <w:rFonts w:cs="Times New Roman"/>
          <w:b w:val="0"/>
          <w:bCs w:val="0"/>
          <w:color w:val="000000"/>
          <w:shd w:val="clear" w:color="070000" w:fill="auto"/>
        </w:rPr>
        <w:t>把握全省唯一省级未来工厂推广应用中心落户契机，打造以“未来工厂”为引领、智能工厂（数字化车间）为主体的新智造产业集群。</w:t>
      </w:r>
      <w:r>
        <w:rPr>
          <w:rFonts w:cs="Times New Roman"/>
          <w:b w:val="0"/>
          <w:bCs w:val="0"/>
          <w:color w:val="000000"/>
        </w:rPr>
        <w:t>集聚阿里巴巴集团全球总部、中电海康总部、vivo全球AI研发总部、OPPO全球研发总部、字节跳动杭州研发中心等头部企业总部，鼓励支持科技人才实施科研攻关项目，聚力突破“卡脖子”难题</w:t>
      </w:r>
      <w:r>
        <w:rPr>
          <w:rFonts w:cs="Times New Roman"/>
          <w:b w:val="0"/>
          <w:bCs w:val="0"/>
        </w:rPr>
        <w:t>。</w:t>
      </w:r>
    </w:p>
    <w:p w14:paraId="3304083A">
      <w:pPr>
        <w:pStyle w:val="4"/>
        <w:spacing w:beforeLines="0" w:afterLines="0" w:line="570" w:lineRule="exact"/>
        <w:ind w:firstLine="0"/>
        <w:jc w:val="left"/>
        <w:rPr>
          <w:rFonts w:cs="Times New Roman"/>
          <w:bCs/>
        </w:rPr>
      </w:pPr>
      <w:bookmarkStart w:id="69" w:name="_Toc18264"/>
      <w:bookmarkStart w:id="70" w:name="_Toc30192"/>
      <w:r>
        <w:rPr>
          <w:rFonts w:cs="Times New Roman"/>
        </w:rPr>
        <w:t>2</w:t>
      </w:r>
      <w:r>
        <w:rPr>
          <w:rFonts w:hint="eastAsia" w:cs="Times New Roman"/>
        </w:rPr>
        <w:t>.</w:t>
      </w:r>
      <w:r>
        <w:rPr>
          <w:rFonts w:cs="Times New Roman"/>
        </w:rPr>
        <w:t>产业链现代化水平实现跃升</w:t>
      </w:r>
      <w:bookmarkEnd w:id="69"/>
      <w:bookmarkEnd w:id="70"/>
      <w:r>
        <w:rPr>
          <w:rFonts w:cs="Times New Roman"/>
        </w:rPr>
        <w:t>。</w:t>
      </w:r>
      <w:r>
        <w:rPr>
          <w:rFonts w:cs="Times New Roman"/>
          <w:b w:val="0"/>
          <w:bCs w:val="0"/>
        </w:rPr>
        <w:t>持续</w:t>
      </w:r>
      <w:r>
        <w:rPr>
          <w:rFonts w:hint="eastAsia" w:cs="Times New Roman"/>
          <w:b w:val="0"/>
          <w:bCs w:val="0"/>
        </w:rPr>
        <w:t>推进</w:t>
      </w:r>
      <w:r>
        <w:rPr>
          <w:rFonts w:cs="Times New Roman"/>
          <w:b w:val="0"/>
          <w:bCs w:val="0"/>
        </w:rPr>
        <w:t>工业互联网平台和新智造公共服务平台</w:t>
      </w:r>
      <w:r>
        <w:rPr>
          <w:rFonts w:hint="eastAsia" w:cs="Times New Roman"/>
          <w:b w:val="0"/>
          <w:bCs w:val="0"/>
        </w:rPr>
        <w:t>建设</w:t>
      </w:r>
      <w:r>
        <w:rPr>
          <w:rFonts w:cs="Times New Roman"/>
          <w:b w:val="0"/>
          <w:bCs w:val="0"/>
        </w:rPr>
        <w:t>，推动中小企业通过上云上平台实现数字化转型。无人驾驶产业大脑入选首批省级信息业分区细分行业产业大脑名单。全面梳理工业园区（集聚区）的工业用地，探索“工业上楼”和连片整治开发，打造以产业空间为核心的“亩均论英雄”改革3.0版多跨场景应用，</w:t>
      </w:r>
      <w:r>
        <w:rPr>
          <w:rFonts w:cs="Times New Roman"/>
          <w:b w:val="0"/>
          <w:bCs w:val="0"/>
          <w:szCs w:val="32"/>
        </w:rPr>
        <w:t>高桥云港率先精彩亮相</w:t>
      </w:r>
      <w:r>
        <w:rPr>
          <w:rFonts w:cs="Times New Roman"/>
          <w:b w:val="0"/>
          <w:bCs w:val="0"/>
        </w:rPr>
        <w:t>。未来科技城现代服务业创新发展区、良渚新城生命健康服务业创新发展区成功申报省级创新发展区，2022年余杭首次作为Ⅰ类地区参与省服务业发展综合评价并继续取得第一。推动龙头企业创建产业链上下游企业共同体，5G车路协同、空地一体无人系统、轨道智能装备等3家企业共同体入选省级产业链上下游企业共同体名单。</w:t>
      </w:r>
    </w:p>
    <w:p w14:paraId="347F5D63">
      <w:pPr>
        <w:pStyle w:val="4"/>
        <w:spacing w:beforeLines="0" w:afterLines="0" w:line="570" w:lineRule="exact"/>
        <w:ind w:firstLine="0"/>
        <w:jc w:val="left"/>
        <w:rPr>
          <w:rFonts w:cs="Times New Roman"/>
          <w:b w:val="0"/>
          <w:bCs w:val="0"/>
        </w:rPr>
      </w:pPr>
      <w:bookmarkStart w:id="71" w:name="_Toc20331"/>
      <w:bookmarkStart w:id="72" w:name="_Toc29752"/>
      <w:r>
        <w:rPr>
          <w:rFonts w:cs="Times New Roman"/>
        </w:rPr>
        <w:t>3</w:t>
      </w:r>
      <w:r>
        <w:rPr>
          <w:rFonts w:hint="eastAsia" w:cs="Times New Roman"/>
        </w:rPr>
        <w:t>.</w:t>
      </w:r>
      <w:r>
        <w:rPr>
          <w:rFonts w:cs="Times New Roman"/>
        </w:rPr>
        <w:t>产业发展质效显著</w:t>
      </w:r>
      <w:bookmarkEnd w:id="71"/>
      <w:bookmarkEnd w:id="72"/>
      <w:r>
        <w:rPr>
          <w:rFonts w:cs="Times New Roman"/>
        </w:rPr>
        <w:t>提高。</w:t>
      </w:r>
      <w:r>
        <w:rPr>
          <w:rFonts w:cs="Times New Roman"/>
          <w:b w:val="0"/>
          <w:bCs w:val="0"/>
        </w:rPr>
        <w:t>积极开展两业融合试点申报，钱江经济开发区成为全市唯一园区类试点单位，宇谷科技获得2022乌镇世界互联网大会“数字共富”特等奖。筹建余杭区智能制造协会，汇聚省级数字化工程服务商60余家。举办智能装备产业数字化专场活动，5家服务商成功入选2022年省级产业数字化服务商名单。</w:t>
      </w:r>
      <w:r>
        <w:rPr>
          <w:rFonts w:hint="eastAsia"/>
          <w:b w:val="0"/>
          <w:bCs w:val="0"/>
        </w:rPr>
        <w:t>余杭未来网络新产业平台</w:t>
      </w:r>
      <w:r>
        <w:rPr>
          <w:rFonts w:cs="Times New Roman"/>
          <w:b w:val="0"/>
          <w:bCs w:val="0"/>
        </w:rPr>
        <w:t>成功</w:t>
      </w:r>
      <w:r>
        <w:rPr>
          <w:rFonts w:hint="eastAsia" w:cs="Times New Roman"/>
          <w:b w:val="0"/>
          <w:bCs w:val="0"/>
        </w:rPr>
        <w:t>入选</w:t>
      </w:r>
      <w:r>
        <w:rPr>
          <w:rFonts w:cs="Times New Roman"/>
          <w:b w:val="0"/>
          <w:bCs w:val="0"/>
        </w:rPr>
        <w:t>省“万亩千亿”</w:t>
      </w:r>
      <w:r>
        <w:rPr>
          <w:rFonts w:hint="eastAsia" w:cs="Times New Roman"/>
          <w:b w:val="0"/>
          <w:bCs w:val="0"/>
        </w:rPr>
        <w:t>新</w:t>
      </w:r>
      <w:r>
        <w:rPr>
          <w:rFonts w:cs="Times New Roman"/>
          <w:b w:val="0"/>
          <w:bCs w:val="0"/>
        </w:rPr>
        <w:t>产业平台，未来科技城</w:t>
      </w:r>
      <w:r>
        <w:rPr>
          <w:rFonts w:cs="Times New Roman"/>
          <w:b w:val="0"/>
          <w:bCs w:val="0"/>
          <w:kern w:val="0"/>
          <w:szCs w:val="32"/>
        </w:rPr>
        <w:t>荣获国家级知识产权强国建设试点园区和国家知识产权局审查员实践基地两块国家级知识产权“金字招牌”，并</w:t>
      </w:r>
      <w:r>
        <w:rPr>
          <w:rFonts w:cs="Times New Roman"/>
          <w:b w:val="0"/>
          <w:bCs w:val="0"/>
        </w:rPr>
        <w:t>成功创建省级高新园区；</w:t>
      </w:r>
      <w:r>
        <w:rPr>
          <w:rFonts w:cs="Times New Roman"/>
          <w:b w:val="0"/>
          <w:bCs w:val="0"/>
          <w:szCs w:val="32"/>
        </w:rPr>
        <w:t>良渚新城</w:t>
      </w:r>
      <w:r>
        <w:rPr>
          <w:rFonts w:hint="eastAsia" w:cs="Times New Roman"/>
          <w:b w:val="0"/>
          <w:bCs w:val="0"/>
          <w:szCs w:val="32"/>
        </w:rPr>
        <w:t>成功创建</w:t>
      </w:r>
      <w:r>
        <w:rPr>
          <w:rFonts w:cs="Times New Roman"/>
          <w:b w:val="0"/>
          <w:bCs w:val="0"/>
          <w:szCs w:val="32"/>
        </w:rPr>
        <w:t>全省唯一国家对外文化贸易基地（杭州），持续深耕文化贸易、数字文化等产业；钱江经济开发区紧紧围绕“一智三新”，全力争创国家级开发区。</w:t>
      </w:r>
      <w:bookmarkStart w:id="73" w:name="_Toc12582"/>
      <w:bookmarkStart w:id="74" w:name="_Toc5843"/>
      <w:bookmarkStart w:id="75" w:name="_Toc2427"/>
      <w:bookmarkStart w:id="76" w:name="_Toc16033"/>
      <w:bookmarkStart w:id="77" w:name="_Toc26190"/>
      <w:bookmarkStart w:id="78" w:name="_Toc13161"/>
      <w:bookmarkStart w:id="79" w:name="_Toc11631"/>
    </w:p>
    <w:p w14:paraId="6B3BB6E7">
      <w:pPr>
        <w:pStyle w:val="3"/>
        <w:adjustRightInd w:val="0"/>
        <w:snapToGrid w:val="0"/>
        <w:spacing w:beforeLines="0" w:afterLines="0" w:line="570" w:lineRule="exact"/>
        <w:ind w:firstLine="0"/>
        <w:jc w:val="left"/>
        <w:rPr>
          <w:rFonts w:cs="Times New Roman"/>
        </w:rPr>
      </w:pPr>
      <w:bookmarkStart w:id="80" w:name="_Toc2672"/>
      <w:bookmarkStart w:id="81" w:name="_Toc14210"/>
      <w:bookmarkStart w:id="82" w:name="_Toc7248"/>
      <w:bookmarkStart w:id="83" w:name="_Toc3126"/>
      <w:bookmarkStart w:id="84" w:name="_Toc785"/>
      <w:bookmarkStart w:id="85" w:name="_Toc19275"/>
      <w:bookmarkStart w:id="86" w:name="_Toc144819655"/>
      <w:r>
        <w:rPr>
          <w:rFonts w:cs="Times New Roman"/>
        </w:rPr>
        <w:t>（三）数字化优势进一步巩固</w:t>
      </w:r>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223B41FF">
      <w:pPr>
        <w:adjustRightInd w:val="0"/>
        <w:snapToGrid w:val="0"/>
        <w:spacing w:beforeLines="0" w:afterLines="0" w:line="570" w:lineRule="exact"/>
        <w:ind w:firstLine="0"/>
        <w:jc w:val="left"/>
        <w:rPr>
          <w:rFonts w:cs="Times New Roman"/>
        </w:rPr>
      </w:pPr>
      <w:r>
        <w:rPr>
          <w:rFonts w:cs="Times New Roman"/>
        </w:rPr>
        <w:t>以数字化改革“创景计划”、营商环境优化提升“一号改革工程”为牵引，不断丰富数字政府、数字社会、数字法治、数字监管、数字金融、数字孪生城市等场景，推动治理和服务体系不断变革，持续输出一系列“余杭经验”。</w:t>
      </w:r>
    </w:p>
    <w:p w14:paraId="633653E5">
      <w:pPr>
        <w:pStyle w:val="4"/>
        <w:spacing w:beforeLines="0" w:afterLines="0" w:line="570" w:lineRule="exact"/>
        <w:ind w:firstLine="0"/>
        <w:jc w:val="left"/>
        <w:rPr>
          <w:rFonts w:cs="Times New Roman"/>
        </w:rPr>
      </w:pPr>
      <w:bookmarkStart w:id="87" w:name="_Toc7006"/>
      <w:bookmarkStart w:id="88" w:name="_Toc27257"/>
      <w:r>
        <w:rPr>
          <w:rFonts w:cs="Times New Roman"/>
        </w:rPr>
        <w:t>1</w:t>
      </w:r>
      <w:r>
        <w:rPr>
          <w:rFonts w:hint="eastAsia" w:cs="Times New Roman"/>
        </w:rPr>
        <w:t>.</w:t>
      </w:r>
      <w:r>
        <w:rPr>
          <w:rFonts w:cs="Times New Roman"/>
        </w:rPr>
        <w:t>数字社会与数字城市加速构建</w:t>
      </w:r>
      <w:bookmarkEnd w:id="87"/>
      <w:bookmarkEnd w:id="88"/>
      <w:r>
        <w:rPr>
          <w:rFonts w:cs="Times New Roman"/>
        </w:rPr>
        <w:t>。</w:t>
      </w:r>
      <w:r>
        <w:rPr>
          <w:rFonts w:cs="Times New Roman"/>
          <w:b w:val="0"/>
          <w:bCs w:val="0"/>
        </w:rPr>
        <w:t>持续推进一体化智能化公共数据平台建设，开发“城市CT”智治平台，构建形成以“体检+复诊”为核心的城市安全风险全域监测预警模式，</w:t>
      </w:r>
      <w:r>
        <w:rPr>
          <w:rFonts w:hint="eastAsia" w:cs="Times New Roman"/>
          <w:b w:val="0"/>
          <w:bCs w:val="0"/>
        </w:rPr>
        <w:t>“城市CT”获得2021、2022年度全省“最佳应用”，“构建城市安全运行数智治理体系”获评2021年度全省改革突破铜奖。</w:t>
      </w:r>
      <w:r>
        <w:rPr>
          <w:rFonts w:cs="Times New Roman"/>
          <w:b w:val="0"/>
          <w:bCs w:val="0"/>
        </w:rPr>
        <w:t>建成全省首家实体化数智治理中心，开发“余智护杭”基层智治综合应用。“平安风险预测预警防控应用”获评2022年度全省“改革突破奖”金奖。深入实施“法律援助惠民生工程”，实现全区村社法律顾问全配置，镇（街）法律自助终端全覆盖。2023年余杭法院被确定为“办理破产一件事”个人债务集中清理智审系统改革试点法院。</w:t>
      </w:r>
    </w:p>
    <w:p w14:paraId="6ADD1C51">
      <w:pPr>
        <w:pStyle w:val="4"/>
        <w:spacing w:beforeLines="0" w:afterLines="0" w:line="570" w:lineRule="exact"/>
        <w:jc w:val="left"/>
        <w:rPr>
          <w:rFonts w:cs="Times New Roman"/>
          <w:b w:val="0"/>
          <w:bCs w:val="0"/>
        </w:rPr>
      </w:pPr>
      <w:bookmarkStart w:id="89" w:name="_Toc24753"/>
      <w:bookmarkStart w:id="90" w:name="_Toc2858"/>
      <w:r>
        <w:rPr>
          <w:rFonts w:cs="Times New Roman"/>
        </w:rPr>
        <w:t>2</w:t>
      </w:r>
      <w:r>
        <w:rPr>
          <w:rFonts w:hint="eastAsia" w:cs="Times New Roman"/>
        </w:rPr>
        <w:t>.</w:t>
      </w:r>
      <w:r>
        <w:rPr>
          <w:rFonts w:cs="Times New Roman"/>
        </w:rPr>
        <w:t>现代政府数字建设成果斐然</w:t>
      </w:r>
      <w:bookmarkEnd w:id="89"/>
      <w:bookmarkEnd w:id="90"/>
      <w:r>
        <w:rPr>
          <w:rFonts w:cs="Times New Roman"/>
        </w:rPr>
        <w:t>。</w:t>
      </w:r>
      <w:r>
        <w:rPr>
          <w:rFonts w:hint="eastAsia" w:cs="Times New Roman"/>
          <w:b w:val="0"/>
          <w:bCs w:val="0"/>
        </w:rPr>
        <w:t>在全省率先上线“超期办件预警系统”，建立健全超期预警提醒和跟踪督办机制。</w:t>
      </w:r>
      <w:r>
        <w:rPr>
          <w:rFonts w:cs="Times New Roman"/>
          <w:b w:val="0"/>
          <w:bCs w:val="0"/>
        </w:rPr>
        <w:t>持续构建以远程监管、移动监管、预警防控为特征的市场监管数字化体系，全</w:t>
      </w:r>
      <w:r>
        <w:rPr>
          <w:rFonts w:cs="Times New Roman"/>
          <w:b w:val="0"/>
          <w:bCs w:val="0"/>
          <w:color w:val="171A1D"/>
          <w:shd w:val="clear" w:color="080000" w:fill="auto"/>
        </w:rPr>
        <w:t>面推进GM2D试点示范区建设。在全省首创“订单码”解决方案，通过打通“食品生产企业-物流仓储-零售末端”全链路，推动经济稳进提质。</w:t>
      </w:r>
      <w:r>
        <w:rPr>
          <w:rFonts w:cs="Times New Roman"/>
          <w:b w:val="0"/>
          <w:bCs w:val="0"/>
        </w:rPr>
        <w:t>深化机关内部“一件事”改革，进一步规范浙政钉上架流程，推动全区应用应接尽接，强化跨部门的业务对接和工作协同。纵深推进“县乡一体、条抓块统”改革，建立“1+8”行政执法队伍体系，推进镇街“一支队伍管执法”方案制定和差异化赋权，参与的“‘县乡一体、条抓块统’县域整体智治”获2021年度全省改革突破奖金奖。</w:t>
      </w:r>
    </w:p>
    <w:p w14:paraId="16342431">
      <w:pPr>
        <w:pStyle w:val="4"/>
        <w:spacing w:beforeLines="0" w:afterLines="0" w:line="570" w:lineRule="exact"/>
        <w:jc w:val="left"/>
        <w:rPr>
          <w:rFonts w:cs="Times New Roman"/>
          <w:b w:val="0"/>
          <w:bCs w:val="0"/>
        </w:rPr>
      </w:pPr>
      <w:bookmarkStart w:id="91" w:name="_Toc11293"/>
      <w:bookmarkStart w:id="92" w:name="_Toc11829"/>
      <w:r>
        <w:rPr>
          <w:rFonts w:cs="Times New Roman"/>
        </w:rPr>
        <w:t>3</w:t>
      </w:r>
      <w:r>
        <w:rPr>
          <w:rFonts w:hint="eastAsia" w:cs="Times New Roman"/>
        </w:rPr>
        <w:t>.</w:t>
      </w:r>
      <w:r>
        <w:rPr>
          <w:rFonts w:cs="Times New Roman"/>
        </w:rPr>
        <w:t>营商环境改革</w:t>
      </w:r>
      <w:r>
        <w:rPr>
          <w:rFonts w:hint="eastAsia" w:cs="Times New Roman"/>
        </w:rPr>
        <w:t>持续</w:t>
      </w:r>
      <w:r>
        <w:rPr>
          <w:rFonts w:cs="Times New Roman"/>
        </w:rPr>
        <w:t>深化</w:t>
      </w:r>
      <w:bookmarkEnd w:id="91"/>
      <w:bookmarkEnd w:id="92"/>
      <w:r>
        <w:rPr>
          <w:rFonts w:cs="Times New Roman"/>
        </w:rPr>
        <w:t>。</w:t>
      </w:r>
      <w:r>
        <w:rPr>
          <w:rFonts w:cs="Times New Roman"/>
          <w:b w:val="0"/>
          <w:bCs w:val="0"/>
        </w:rPr>
        <w:t>深入推进营商环境优化提升“一号改革工程”，高质量落实杭州市国家营商环境创新试点建设，在全市首发“一中心一平台”，首批推出“青年来余”“人才有为”“灵活就业”“知识产权全链条”“科技成果转化”“企业金融服务”6个“一类事”增值服务事项包。建立健全企业咨询服务和诉求受理处理“一张网”。构建“企业码”线上平台+“经济网格员”线下服务联动机制，“企业码”五常专区获批全省唯一镇街级企业码创新应用试点。稳步推进工业用地有机更新和工业低效用地整治。服务保障浙江创新馆（过渡馆）开馆运行，建成投用杭州技术转移转化中心，成立天目山实验室科技成果转化中心。</w:t>
      </w:r>
    </w:p>
    <w:p w14:paraId="42D53854">
      <w:pPr>
        <w:pStyle w:val="4"/>
        <w:spacing w:beforeLines="0" w:afterLines="0" w:line="570" w:lineRule="exact"/>
        <w:ind w:firstLine="641"/>
        <w:jc w:val="left"/>
        <w:rPr>
          <w:rFonts w:cs="Times New Roman"/>
          <w:b w:val="0"/>
          <w:bCs w:val="0"/>
        </w:rPr>
      </w:pPr>
      <w:bookmarkStart w:id="93" w:name="_Toc12513"/>
      <w:bookmarkStart w:id="94" w:name="_Toc12575"/>
      <w:r>
        <w:rPr>
          <w:rFonts w:cs="Times New Roman"/>
        </w:rPr>
        <w:t>4</w:t>
      </w:r>
      <w:r>
        <w:rPr>
          <w:rFonts w:hint="eastAsia" w:cs="Times New Roman"/>
        </w:rPr>
        <w:t>.</w:t>
      </w:r>
      <w:r>
        <w:rPr>
          <w:rFonts w:cs="Times New Roman"/>
        </w:rPr>
        <w:t>各类市场主体焕发活力</w:t>
      </w:r>
      <w:bookmarkEnd w:id="93"/>
      <w:bookmarkEnd w:id="94"/>
      <w:r>
        <w:rPr>
          <w:rFonts w:cs="Times New Roman"/>
        </w:rPr>
        <w:t>。</w:t>
      </w:r>
      <w:r>
        <w:rPr>
          <w:rFonts w:hint="default" w:ascii="Times New Roman" w:hAnsi="Times New Roman" w:eastAsia="仿宋_GB2312" w:cs="Times New Roman"/>
          <w:b w:val="0"/>
          <w:bCs w:val="0"/>
          <w:kern w:val="2"/>
          <w:sz w:val="32"/>
          <w:szCs w:val="32"/>
          <w:lang w:val="en-US" w:eastAsia="zh-CN"/>
        </w:rPr>
        <w:t>持续擦亮“</w:t>
      </w:r>
      <w:r>
        <w:rPr>
          <w:rFonts w:hint="default" w:ascii="仿宋_GB2312" w:hAnsi="Times New Roman" w:eastAsia="仿宋_GB2312" w:cs="仿宋_GB2312"/>
          <w:b w:val="0"/>
          <w:bCs w:val="0"/>
          <w:kern w:val="2"/>
          <w:sz w:val="32"/>
          <w:szCs w:val="32"/>
          <w:lang w:val="en-US" w:eastAsia="zh-CN"/>
        </w:rPr>
        <w:t>我负责阳光雨露，你负责茁壮成长</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的金名片，出台</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助企纾困</w:t>
      </w:r>
      <w:r>
        <w:rPr>
          <w:rFonts w:hint="default" w:ascii="Times New Roman" w:hAnsi="Times New Roman" w:eastAsia="仿宋_GB2312" w:cs="Times New Roman"/>
          <w:b w:val="0"/>
          <w:bCs w:val="0"/>
          <w:kern w:val="2"/>
          <w:sz w:val="32"/>
          <w:szCs w:val="32"/>
          <w:lang w:val="en-US" w:eastAsia="zh-CN"/>
        </w:rPr>
        <w:t>36</w:t>
      </w:r>
      <w:r>
        <w:rPr>
          <w:rFonts w:hint="default" w:ascii="仿宋_GB2312" w:hAnsi="Times New Roman" w:eastAsia="仿宋_GB2312" w:cs="仿宋_GB2312"/>
          <w:b w:val="0"/>
          <w:bCs w:val="0"/>
          <w:kern w:val="2"/>
          <w:sz w:val="32"/>
          <w:szCs w:val="32"/>
          <w:lang w:val="en-US" w:eastAsia="zh-CN"/>
        </w:rPr>
        <w:t>条</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稳进提质</w:t>
      </w:r>
      <w:r>
        <w:rPr>
          <w:rFonts w:hint="default" w:ascii="Times New Roman" w:hAnsi="Times New Roman" w:eastAsia="仿宋_GB2312" w:cs="Times New Roman"/>
          <w:b w:val="0"/>
          <w:bCs w:val="0"/>
          <w:kern w:val="2"/>
          <w:sz w:val="32"/>
          <w:szCs w:val="32"/>
          <w:lang w:val="en-US" w:eastAsia="zh-CN"/>
        </w:rPr>
        <w:t>58</w:t>
      </w:r>
      <w:r>
        <w:rPr>
          <w:rFonts w:hint="default" w:ascii="仿宋_GB2312" w:hAnsi="Times New Roman" w:eastAsia="仿宋_GB2312" w:cs="仿宋_GB2312"/>
          <w:b w:val="0"/>
          <w:bCs w:val="0"/>
          <w:kern w:val="2"/>
          <w:sz w:val="32"/>
          <w:szCs w:val="32"/>
          <w:lang w:val="en-US" w:eastAsia="zh-CN"/>
        </w:rPr>
        <w:t>条</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和减负降本等政策。</w:t>
      </w:r>
      <w:r>
        <w:rPr>
          <w:rFonts w:hint="default" w:ascii="Times New Roman" w:hAnsi="Times New Roman" w:eastAsia="仿宋_GB2312" w:cs="Times New Roman"/>
          <w:b w:val="0"/>
          <w:bCs w:val="0"/>
          <w:kern w:val="2"/>
          <w:sz w:val="32"/>
          <w:szCs w:val="32"/>
          <w:lang w:val="en-US" w:eastAsia="zh-CN"/>
        </w:rPr>
        <w:t>制定区工业企业小升规三年行动计划，建立“</w:t>
      </w:r>
      <w:r>
        <w:rPr>
          <w:rFonts w:hint="default" w:ascii="仿宋_GB2312" w:hAnsi="Times New Roman" w:eastAsia="仿宋_GB2312" w:cs="仿宋_GB2312"/>
          <w:b w:val="0"/>
          <w:bCs w:val="0"/>
          <w:kern w:val="2"/>
          <w:sz w:val="32"/>
          <w:szCs w:val="32"/>
          <w:lang w:val="en-US" w:eastAsia="zh-CN"/>
        </w:rPr>
        <w:t>小升规</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发现、评价、培育和预警机制，</w:t>
      </w:r>
      <w:r>
        <w:rPr>
          <w:rFonts w:hint="default" w:ascii="Times New Roman" w:hAnsi="Times New Roman" w:eastAsia="仿宋_GB2312" w:cs="Times New Roman"/>
          <w:b w:val="0"/>
          <w:bCs w:val="0"/>
          <w:kern w:val="2"/>
          <w:sz w:val="32"/>
          <w:szCs w:val="32"/>
          <w:lang w:val="en-US" w:eastAsia="zh-CN"/>
        </w:rPr>
        <w:t>推出“</w:t>
      </w:r>
      <w:r>
        <w:rPr>
          <w:rFonts w:hint="default" w:ascii="仿宋_GB2312" w:hAnsi="Times New Roman" w:eastAsia="仿宋_GB2312" w:cs="仿宋_GB2312"/>
          <w:b w:val="0"/>
          <w:bCs w:val="0"/>
          <w:kern w:val="2"/>
          <w:sz w:val="32"/>
          <w:szCs w:val="32"/>
          <w:lang w:val="en-US" w:eastAsia="zh-CN"/>
        </w:rPr>
        <w:t>亲清余杭</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政商服务平台，实现区本级政策线上全覆盖。</w:t>
      </w:r>
      <w:r>
        <w:rPr>
          <w:rFonts w:hint="default" w:ascii="Times New Roman" w:hAnsi="Times New Roman" w:eastAsia="仿宋_GB2312" w:cs="Times New Roman"/>
          <w:b w:val="0"/>
          <w:bCs w:val="0"/>
          <w:kern w:val="2"/>
          <w:sz w:val="32"/>
          <w:szCs w:val="32"/>
          <w:lang w:val="en-US" w:eastAsia="zh-CN"/>
        </w:rPr>
        <w:t>积极探索知识产权全链条增值服务“</w:t>
      </w:r>
      <w:r>
        <w:rPr>
          <w:rFonts w:hint="default" w:ascii="仿宋_GB2312" w:hAnsi="Times New Roman" w:eastAsia="仿宋_GB2312" w:cs="仿宋_GB2312"/>
          <w:b w:val="0"/>
          <w:bCs w:val="0"/>
          <w:kern w:val="2"/>
          <w:sz w:val="32"/>
          <w:szCs w:val="32"/>
          <w:lang w:val="en-US" w:eastAsia="zh-CN"/>
        </w:rPr>
        <w:t>一类事</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改革，发行全省首单知识产权证券化</w:t>
      </w:r>
      <w:r>
        <w:rPr>
          <w:rFonts w:hint="default" w:ascii="Times New Roman" w:hAnsi="Times New Roman" w:eastAsia="仿宋_GB2312" w:cs="Times New Roman"/>
          <w:b w:val="0"/>
          <w:bCs w:val="0"/>
          <w:kern w:val="2"/>
          <w:sz w:val="32"/>
          <w:szCs w:val="32"/>
          <w:lang w:val="en-US" w:eastAsia="zh-CN"/>
        </w:rPr>
        <w:t>ABS</w:t>
      </w:r>
      <w:r>
        <w:rPr>
          <w:rFonts w:hint="default" w:ascii="仿宋_GB2312" w:hAnsi="Times New Roman" w:eastAsia="仿宋_GB2312" w:cs="仿宋_GB2312"/>
          <w:b w:val="0"/>
          <w:bCs w:val="0"/>
          <w:kern w:val="2"/>
          <w:sz w:val="32"/>
          <w:szCs w:val="32"/>
          <w:lang w:val="en-US" w:eastAsia="zh-CN"/>
        </w:rPr>
        <w:t>和</w:t>
      </w:r>
      <w:r>
        <w:rPr>
          <w:rFonts w:hint="default" w:ascii="Times New Roman" w:hAnsi="Times New Roman" w:eastAsia="仿宋_GB2312" w:cs="Times New Roman"/>
          <w:b w:val="0"/>
          <w:bCs w:val="0"/>
          <w:kern w:val="2"/>
          <w:sz w:val="32"/>
          <w:szCs w:val="32"/>
          <w:lang w:val="en-US" w:eastAsia="zh-CN"/>
        </w:rPr>
        <w:t>ABN</w:t>
      </w:r>
      <w:r>
        <w:rPr>
          <w:rFonts w:hint="default" w:ascii="仿宋_GB2312" w:hAnsi="Times New Roman" w:eastAsia="仿宋_GB2312" w:cs="仿宋_GB2312"/>
          <w:b w:val="0"/>
          <w:bCs w:val="0"/>
          <w:kern w:val="2"/>
          <w:sz w:val="32"/>
          <w:szCs w:val="32"/>
          <w:lang w:val="en-US" w:eastAsia="zh-CN"/>
        </w:rPr>
        <w:t>产品，</w:t>
      </w:r>
      <w:r>
        <w:rPr>
          <w:rFonts w:hint="default" w:ascii="Times New Roman" w:hAnsi="Times New Roman" w:eastAsia="仿宋_GB2312" w:cs="Times New Roman"/>
          <w:b w:val="0"/>
          <w:bCs w:val="0"/>
          <w:kern w:val="2"/>
          <w:sz w:val="32"/>
          <w:szCs w:val="32"/>
          <w:lang w:val="en-US" w:eastAsia="zh-CN"/>
        </w:rPr>
        <w:t>推动区内知识产权效益释放和价值提升，“知识产权证券化改革”纳入全省首批“微改革”清单库。开展“</w:t>
      </w:r>
      <w:r>
        <w:rPr>
          <w:rFonts w:hint="default" w:ascii="仿宋_GB2312" w:hAnsi="Times New Roman" w:eastAsia="仿宋_GB2312" w:cs="仿宋_GB2312"/>
          <w:b w:val="0"/>
          <w:bCs w:val="0"/>
          <w:kern w:val="2"/>
          <w:sz w:val="32"/>
          <w:szCs w:val="32"/>
          <w:lang w:val="en-US" w:eastAsia="zh-CN"/>
        </w:rPr>
        <w:t>金融赋能 共创未来</w:t>
      </w:r>
      <w:r>
        <w:rPr>
          <w:rFonts w:hint="default" w:ascii="Times New Roman" w:hAnsi="Times New Roman" w:eastAsia="仿宋_GB2312" w:cs="Times New Roman"/>
          <w:b w:val="0"/>
          <w:bCs w:val="0"/>
          <w:kern w:val="2"/>
          <w:sz w:val="32"/>
          <w:szCs w:val="32"/>
          <w:lang w:val="en-US" w:eastAsia="zh-CN"/>
        </w:rPr>
        <w:t>”</w:t>
      </w:r>
      <w:r>
        <w:rPr>
          <w:rFonts w:hint="default" w:ascii="仿宋_GB2312" w:hAnsi="Times New Roman" w:eastAsia="仿宋_GB2312" w:cs="仿宋_GB2312"/>
          <w:b w:val="0"/>
          <w:bCs w:val="0"/>
          <w:kern w:val="2"/>
          <w:sz w:val="32"/>
          <w:szCs w:val="32"/>
          <w:lang w:val="en-US" w:eastAsia="zh-CN"/>
        </w:rPr>
        <w:t>系列活动。</w:t>
      </w:r>
      <w:r>
        <w:rPr>
          <w:rFonts w:hint="default" w:ascii="Times New Roman" w:hAnsi="Times New Roman" w:eastAsia="仿宋_GB2312" w:cs="Times New Roman"/>
          <w:b w:val="0"/>
          <w:bCs w:val="0"/>
          <w:kern w:val="2"/>
          <w:sz w:val="32"/>
          <w:szCs w:val="32"/>
          <w:lang w:val="en-US" w:eastAsia="zh-CN"/>
        </w:rPr>
        <w:t>新引进国内外知名股权投资机构20</w:t>
      </w:r>
      <w:r>
        <w:rPr>
          <w:rFonts w:hint="default" w:ascii="仿宋_GB2312" w:hAnsi="Times New Roman" w:eastAsia="仿宋_GB2312" w:cs="仿宋_GB2312"/>
          <w:b w:val="0"/>
          <w:bCs w:val="0"/>
          <w:kern w:val="2"/>
          <w:sz w:val="32"/>
          <w:szCs w:val="32"/>
          <w:lang w:val="en-US" w:eastAsia="zh-CN"/>
        </w:rPr>
        <w:t>家。</w:t>
      </w:r>
    </w:p>
    <w:p w14:paraId="44E6A4B6">
      <w:pPr>
        <w:pStyle w:val="3"/>
        <w:adjustRightInd w:val="0"/>
        <w:snapToGrid w:val="0"/>
        <w:spacing w:beforeLines="0" w:afterLines="0" w:line="570" w:lineRule="exact"/>
        <w:ind w:firstLine="640"/>
        <w:jc w:val="left"/>
        <w:rPr>
          <w:rFonts w:cs="Times New Roman"/>
        </w:rPr>
      </w:pPr>
      <w:bookmarkStart w:id="95" w:name="_Toc17552"/>
      <w:bookmarkStart w:id="96" w:name="_Toc22774"/>
      <w:bookmarkStart w:id="97" w:name="_Toc4590"/>
      <w:bookmarkStart w:id="98" w:name="_Toc21242"/>
      <w:bookmarkStart w:id="99" w:name="_Toc18240"/>
      <w:bookmarkStart w:id="100" w:name="_Toc22458"/>
      <w:bookmarkStart w:id="101" w:name="_Toc31225"/>
      <w:bookmarkStart w:id="102" w:name="_Toc23906"/>
      <w:bookmarkStart w:id="103" w:name="_Toc29732"/>
      <w:bookmarkStart w:id="104" w:name="_Toc144819656"/>
      <w:bookmarkStart w:id="105" w:name="_Toc23587"/>
      <w:bookmarkStart w:id="106" w:name="_Toc13050"/>
      <w:bookmarkStart w:id="107" w:name="_Toc31162"/>
      <w:bookmarkStart w:id="108" w:name="_Toc21640"/>
      <w:r>
        <w:rPr>
          <w:rFonts w:cs="Times New Roman"/>
        </w:rPr>
        <w:t>（四）开放合作高地加速打造</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14:paraId="7BC1A18C">
      <w:pPr>
        <w:adjustRightInd w:val="0"/>
        <w:snapToGrid w:val="0"/>
        <w:spacing w:beforeLines="0" w:afterLines="0" w:line="570" w:lineRule="exact"/>
        <w:ind w:firstLine="640"/>
        <w:jc w:val="left"/>
        <w:rPr>
          <w:rFonts w:cs="Times New Roman"/>
          <w:highlight w:val="yellow"/>
        </w:rPr>
      </w:pPr>
      <w:r>
        <w:rPr>
          <w:rFonts w:cs="Times New Roman"/>
        </w:rPr>
        <w:t>“十四五”前半程，余杭围绕建设一流国际化现代化城区目标，高水平推进对外开放，在长三角一体化发展、对外贸易扩容、开放平台建设、国际化水平提升等方面成果斐然，高质量发展指数位列全国综合实力百强区第4位。</w:t>
      </w:r>
    </w:p>
    <w:p w14:paraId="4739E0D7">
      <w:pPr>
        <w:pStyle w:val="4"/>
        <w:spacing w:beforeLines="0" w:afterLines="0" w:line="570" w:lineRule="exact"/>
        <w:jc w:val="left"/>
        <w:rPr>
          <w:rFonts w:cs="Times New Roman"/>
          <w:b w:val="0"/>
          <w:bCs w:val="0"/>
        </w:rPr>
      </w:pPr>
      <w:bookmarkStart w:id="109" w:name="_Toc8633"/>
      <w:bookmarkStart w:id="110" w:name="_Toc15217"/>
      <w:r>
        <w:rPr>
          <w:rFonts w:cs="Times New Roman"/>
        </w:rPr>
        <w:t>1</w:t>
      </w:r>
      <w:r>
        <w:rPr>
          <w:rFonts w:hint="eastAsia" w:cs="Times New Roman"/>
        </w:rPr>
        <w:t>.</w:t>
      </w:r>
      <w:r>
        <w:rPr>
          <w:rFonts w:cs="Times New Roman"/>
        </w:rPr>
        <w:t>长三角一体化发展步伐加快</w:t>
      </w:r>
      <w:bookmarkEnd w:id="109"/>
      <w:bookmarkEnd w:id="110"/>
      <w:r>
        <w:rPr>
          <w:rFonts w:cs="Times New Roman"/>
        </w:rPr>
        <w:t>。</w:t>
      </w:r>
      <w:r>
        <w:rPr>
          <w:rFonts w:cs="Times New Roman"/>
          <w:b w:val="0"/>
          <w:bCs w:val="0"/>
        </w:rPr>
        <w:t>完成“轨道上的长三角”重要节点工程西站枢纽建设，</w:t>
      </w:r>
      <w:r>
        <w:rPr>
          <w:rFonts w:cs="Times New Roman"/>
          <w:b w:val="0"/>
          <w:bCs w:val="0"/>
          <w:szCs w:val="32"/>
        </w:rPr>
        <w:t>揭牌启用杭州西站人才驿站，加快国际人力资源服务产业园建设，持续吸引长三角以及全国各地人才。梦想小镇输出模式被评为省首批长三角一体化发展“最佳实践”案例。扎实</w:t>
      </w:r>
      <w:r>
        <w:rPr>
          <w:rFonts w:hint="default" w:ascii="Times New Roman" w:hAnsi="Times New Roman" w:eastAsia="仿宋_GB2312" w:cs="Times New Roman"/>
          <w:b w:val="0"/>
          <w:bCs w:val="0"/>
          <w:kern w:val="2"/>
          <w:sz w:val="32"/>
          <w:szCs w:val="32"/>
          <w:lang w:val="en-US" w:eastAsia="zh-CN"/>
        </w:rPr>
        <w:t>推进</w:t>
      </w:r>
      <w:r>
        <w:rPr>
          <w:rFonts w:cs="Times New Roman"/>
          <w:b w:val="0"/>
          <w:bCs w:val="0"/>
        </w:rPr>
        <w:t>东西部协作，选派党政干部、专技人才赴结对帮扶县开展挂职、支医、支教、支农活动，苍溪县笋子沟村数字乡村振兴示范村列入浙江省东西部协作典型案例。余杭荣获全省山海协作先进集体、杭州市东西部协作扶贫协作先进集体。</w:t>
      </w:r>
    </w:p>
    <w:p w14:paraId="0A907F26">
      <w:pPr>
        <w:pStyle w:val="4"/>
        <w:spacing w:beforeLines="0" w:afterLines="0" w:line="570" w:lineRule="exact"/>
        <w:jc w:val="left"/>
        <w:rPr>
          <w:rFonts w:cs="Times New Roman"/>
          <w:highlight w:val="cyan"/>
        </w:rPr>
      </w:pPr>
      <w:bookmarkStart w:id="111" w:name="_Toc24683"/>
      <w:bookmarkStart w:id="112" w:name="_Toc5970"/>
      <w:r>
        <w:rPr>
          <w:rFonts w:cs="Times New Roman"/>
        </w:rPr>
        <w:t>2</w:t>
      </w:r>
      <w:r>
        <w:rPr>
          <w:rFonts w:hint="eastAsia" w:cs="Times New Roman"/>
        </w:rPr>
        <w:t>.</w:t>
      </w:r>
      <w:r>
        <w:rPr>
          <w:rFonts w:cs="Times New Roman"/>
        </w:rPr>
        <w:t>高层次开放型经济持续加强</w:t>
      </w:r>
      <w:bookmarkEnd w:id="111"/>
      <w:bookmarkEnd w:id="112"/>
      <w:r>
        <w:rPr>
          <w:rFonts w:cs="Times New Roman"/>
        </w:rPr>
        <w:t>。</w:t>
      </w:r>
      <w:r>
        <w:rPr>
          <w:rFonts w:cs="Times New Roman"/>
          <w:b w:val="0"/>
          <w:bCs w:val="0"/>
        </w:rPr>
        <w:t>深入实施“丝路领航”新三年行动计划，华立集团荣获2022年度浙江本土民营跨国公司“领航企业”称号，“华立海外”入选浙江省“一带一路”综合服务联盟首批理事长单位。与浙江省商务厅共建“海外智慧物流在线”，设置海外仓、行业预警、资信红绿灯、信保、出入境便利化、机票预订等多种功能模块，为全省外贸企业强化供应链服务的应用，提供银行、税务、海关、港口、信保等相关资源渠道接口，助力企业全面掌握境外拓市场要素信息开拓市场。深入实施“地瓜经济”提能升级“一号开放工程”，国际产业合作园区加快建设</w:t>
      </w:r>
      <w:r>
        <w:rPr>
          <w:rFonts w:hint="eastAsia" w:cs="Times New Roman"/>
          <w:b w:val="0"/>
          <w:bCs w:val="0"/>
        </w:rPr>
        <w:t>。</w:t>
      </w:r>
    </w:p>
    <w:p w14:paraId="466A3DC6">
      <w:pPr>
        <w:pStyle w:val="4"/>
        <w:spacing w:beforeLines="0" w:afterLines="0" w:line="570" w:lineRule="exact"/>
        <w:jc w:val="left"/>
        <w:rPr>
          <w:rFonts w:cs="Times New Roman"/>
          <w:b w:val="0"/>
          <w:bCs w:val="0"/>
          <w:highlight w:val="yellow"/>
          <w:u w:val="single"/>
        </w:rPr>
      </w:pPr>
      <w:bookmarkStart w:id="113" w:name="_Toc15633"/>
      <w:bookmarkStart w:id="114" w:name="_Toc20008"/>
      <w:r>
        <w:rPr>
          <w:rFonts w:cs="Times New Roman"/>
        </w:rPr>
        <w:t>3</w:t>
      </w:r>
      <w:r>
        <w:rPr>
          <w:rFonts w:hint="eastAsia" w:cs="Times New Roman"/>
        </w:rPr>
        <w:t>.</w:t>
      </w:r>
      <w:r>
        <w:rPr>
          <w:rFonts w:cs="Times New Roman"/>
        </w:rPr>
        <w:t>品质之区国际化功能日益健全</w:t>
      </w:r>
      <w:bookmarkEnd w:id="113"/>
      <w:bookmarkEnd w:id="114"/>
      <w:r>
        <w:rPr>
          <w:rFonts w:cs="Times New Roman"/>
        </w:rPr>
        <w:t>。</w:t>
      </w:r>
      <w:r>
        <w:rPr>
          <w:rFonts w:cs="Times New Roman"/>
          <w:b w:val="0"/>
          <w:bCs w:val="0"/>
        </w:rPr>
        <w:t>高质量推进基础设施改造提升、城市环境综合治理、亚运形象景观规划建设等任务。</w:t>
      </w:r>
      <w:r>
        <w:rPr>
          <w:rStyle w:val="48"/>
          <w:rFonts w:ascii="Times New Roman"/>
          <w:b w:val="0"/>
          <w:bCs w:val="0"/>
        </w:rPr>
        <w:t>创新“属地+高校”联合办赛模式，紧密协同杭师大顺利完成测试赛，</w:t>
      </w:r>
      <w:r>
        <w:rPr>
          <w:rFonts w:cs="Times New Roman"/>
          <w:b w:val="0"/>
          <w:bCs w:val="0"/>
        </w:rPr>
        <w:t>积极推动杭师大亚运场馆等学校亚运场馆惠民开放。圆满完成亚运采火仪式保障工作，</w:t>
      </w:r>
      <w:r>
        <w:rPr>
          <w:rFonts w:cs="Times New Roman"/>
          <w:b w:val="0"/>
          <w:bCs w:val="0"/>
          <w:szCs w:val="32"/>
        </w:rPr>
        <w:t>助力打赢杭州亚运会第一仗</w:t>
      </w:r>
      <w:r>
        <w:rPr>
          <w:rFonts w:cs="Times New Roman"/>
          <w:b w:val="0"/>
          <w:bCs w:val="0"/>
        </w:rPr>
        <w:t>。全力</w:t>
      </w:r>
      <w:r>
        <w:rPr>
          <w:rFonts w:cs="Times New Roman"/>
          <w:b w:val="0"/>
          <w:bCs w:val="0"/>
          <w:color w:val="000000"/>
        </w:rPr>
        <w:t>培育品牌效应</w:t>
      </w:r>
      <w:r>
        <w:rPr>
          <w:rFonts w:cs="Times New Roman"/>
          <w:b w:val="0"/>
          <w:bCs w:val="0"/>
        </w:rPr>
        <w:t>，</w:t>
      </w:r>
      <w:r>
        <w:rPr>
          <w:rFonts w:cs="Times New Roman"/>
          <w:b w:val="0"/>
          <w:bCs w:val="0"/>
          <w:color w:val="000000"/>
        </w:rPr>
        <w:t>举办2022全球人工智能技术大会（GAITC）</w:t>
      </w:r>
      <w:r>
        <w:rPr>
          <w:rFonts w:cs="Times New Roman"/>
          <w:b w:val="0"/>
          <w:bCs w:val="0"/>
        </w:rPr>
        <w:t>等国际会议，</w:t>
      </w:r>
      <w:r>
        <w:rPr>
          <w:rFonts w:cs="Times New Roman"/>
          <w:b w:val="0"/>
          <w:bCs w:val="0"/>
          <w:color w:val="000000"/>
        </w:rPr>
        <w:t>中国国际网络文化博览会永久落户余杭</w:t>
      </w:r>
      <w:r>
        <w:rPr>
          <w:rFonts w:cs="Times New Roman"/>
          <w:b w:val="0"/>
          <w:bCs w:val="0"/>
        </w:rPr>
        <w:t>，开展杭州梦想小镇半程马拉松赛等一系列迎亚运赛事体育赛事活动1200余场。</w:t>
      </w:r>
    </w:p>
    <w:p w14:paraId="7AE55D59">
      <w:pPr>
        <w:pStyle w:val="4"/>
        <w:spacing w:beforeLines="0" w:afterLines="0" w:line="570" w:lineRule="exact"/>
        <w:jc w:val="left"/>
        <w:rPr>
          <w:rFonts w:cs="Times New Roman"/>
          <w:b w:val="0"/>
          <w:bCs w:val="0"/>
        </w:rPr>
      </w:pPr>
      <w:bookmarkStart w:id="115" w:name="_Toc25273"/>
      <w:bookmarkStart w:id="116" w:name="_Toc20623"/>
      <w:r>
        <w:rPr>
          <w:rFonts w:cs="Times New Roman"/>
        </w:rPr>
        <w:t>4</w:t>
      </w:r>
      <w:r>
        <w:rPr>
          <w:rFonts w:hint="eastAsia" w:cs="Times New Roman"/>
        </w:rPr>
        <w:t>.</w:t>
      </w:r>
      <w:r>
        <w:rPr>
          <w:rFonts w:cs="Times New Roman"/>
        </w:rPr>
        <w:t>双循环发展新格局加速构建</w:t>
      </w:r>
      <w:bookmarkEnd w:id="115"/>
      <w:bookmarkEnd w:id="116"/>
      <w:r>
        <w:rPr>
          <w:rFonts w:cs="Times New Roman"/>
        </w:rPr>
        <w:t>。</w:t>
      </w:r>
      <w:r>
        <w:rPr>
          <w:rFonts w:cs="Times New Roman"/>
          <w:b w:val="0"/>
          <w:bCs w:val="0"/>
        </w:rPr>
        <w:t>国内首个全球跨境电商DTC品牌创新中心落户余杭，集聚跨境电商产业链企业近1000家，17家企业入选全省数字贸易百强榜、总量居全省前列，获得2022杭州跨境电商综试区综合评价第一档荣誉。助力菜鸟、华立等龙头企业在海外积极布局产业链供应链，</w:t>
      </w:r>
      <w:r>
        <w:rPr>
          <w:rFonts w:cs="Times New Roman"/>
          <w:b w:val="0"/>
          <w:bCs w:val="0"/>
          <w:szCs w:val="32"/>
        </w:rPr>
        <w:t>构建功能完备、立体互联、陆海空统筹的海外仓物流网络</w:t>
      </w:r>
      <w:r>
        <w:rPr>
          <w:rFonts w:cs="Times New Roman"/>
          <w:b w:val="0"/>
          <w:bCs w:val="0"/>
        </w:rPr>
        <w:t>。3个产业园入选杭州市跨境电商品牌出海基地，入选数量全市第一；7家公司入选“浙江跨境电商出口知名品牌名单”，数量全市前列。</w:t>
      </w:r>
      <w:r>
        <w:rPr>
          <w:rFonts w:cs="Times New Roman"/>
          <w:b w:val="0"/>
          <w:bCs w:val="0"/>
          <w:szCs w:val="32"/>
        </w:rPr>
        <w:t>开展“全球招商季”活动，获评全市唯一的浙江省十佳招大引强区</w:t>
      </w:r>
      <w:r>
        <w:rPr>
          <w:rFonts w:hint="eastAsia" w:cs="Times New Roman"/>
          <w:b w:val="0"/>
          <w:bCs w:val="0"/>
          <w:szCs w:val="32"/>
        </w:rPr>
        <w:t>。</w:t>
      </w:r>
    </w:p>
    <w:p w14:paraId="0BBAC255">
      <w:pPr>
        <w:pStyle w:val="3"/>
        <w:adjustRightInd w:val="0"/>
        <w:snapToGrid w:val="0"/>
        <w:spacing w:beforeLines="0" w:afterLines="0" w:line="570" w:lineRule="exact"/>
        <w:ind w:firstLine="640"/>
        <w:jc w:val="left"/>
        <w:rPr>
          <w:rFonts w:cs="Times New Roman"/>
        </w:rPr>
      </w:pPr>
      <w:bookmarkStart w:id="117" w:name="_Toc19414"/>
      <w:bookmarkStart w:id="118" w:name="_Toc13621"/>
      <w:bookmarkStart w:id="119" w:name="_Toc30319"/>
      <w:bookmarkStart w:id="120" w:name="_Toc18842"/>
      <w:bookmarkStart w:id="121" w:name="_Toc32561"/>
      <w:bookmarkStart w:id="122" w:name="_Toc20086"/>
      <w:bookmarkStart w:id="123" w:name="_Toc14846"/>
      <w:bookmarkStart w:id="124" w:name="_Toc15980"/>
      <w:bookmarkStart w:id="125" w:name="_Toc31438"/>
      <w:bookmarkStart w:id="126" w:name="_Toc21876"/>
      <w:bookmarkStart w:id="127" w:name="_Toc8618"/>
      <w:bookmarkStart w:id="128" w:name="_Toc144819657"/>
      <w:bookmarkStart w:id="129" w:name="_Toc12604"/>
      <w:bookmarkStart w:id="130" w:name="_Toc1316"/>
      <w:r>
        <w:rPr>
          <w:rFonts w:cs="Times New Roman"/>
        </w:rPr>
        <w:t>（五）城乡融合示范效应显著</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00C313BD">
      <w:pPr>
        <w:adjustRightInd w:val="0"/>
        <w:snapToGrid w:val="0"/>
        <w:spacing w:beforeLines="0" w:afterLines="0" w:line="570" w:lineRule="exact"/>
        <w:ind w:firstLine="640"/>
        <w:jc w:val="left"/>
        <w:rPr>
          <w:rFonts w:cs="Times New Roman"/>
        </w:rPr>
      </w:pPr>
      <w:r>
        <w:rPr>
          <w:rFonts w:cs="Times New Roman"/>
        </w:rPr>
        <w:t>积极推进区域协调发展战略，促进东西部发展均衡化，实施新型城镇化战略，形成了良好的城乡一体化发展格局。</w:t>
      </w:r>
    </w:p>
    <w:p w14:paraId="3ACD5F1E">
      <w:pPr>
        <w:pStyle w:val="4"/>
        <w:spacing w:beforeLines="0" w:afterLines="0" w:line="570" w:lineRule="exact"/>
        <w:jc w:val="left"/>
        <w:rPr>
          <w:rFonts w:cs="Times New Roman"/>
          <w:b w:val="0"/>
          <w:bCs w:val="0"/>
          <w:color w:val="000000"/>
        </w:rPr>
      </w:pPr>
      <w:bookmarkStart w:id="131" w:name="_Toc6037"/>
      <w:bookmarkStart w:id="132" w:name="_Toc29875"/>
      <w:r>
        <w:rPr>
          <w:rFonts w:cs="Times New Roman"/>
        </w:rPr>
        <w:t>1</w:t>
      </w:r>
      <w:r>
        <w:rPr>
          <w:rFonts w:hint="eastAsia" w:cs="Times New Roman"/>
        </w:rPr>
        <w:t>.</w:t>
      </w:r>
      <w:r>
        <w:rPr>
          <w:rFonts w:cs="Times New Roman"/>
        </w:rPr>
        <w:t>中心城区品质逐步提升</w:t>
      </w:r>
      <w:bookmarkEnd w:id="131"/>
      <w:bookmarkEnd w:id="132"/>
      <w:r>
        <w:rPr>
          <w:rFonts w:cs="Times New Roman"/>
        </w:rPr>
        <w:t>。</w:t>
      </w:r>
      <w:r>
        <w:rPr>
          <w:rFonts w:cs="Times New Roman"/>
          <w:b w:val="0"/>
          <w:bCs w:val="0"/>
          <w:szCs w:val="32"/>
        </w:rPr>
        <w:t>坚持全区规划“一张图”，聚焦打造“未来科技城+西站枢纽地区”杭州城市级公共中心，迭代构建以城西科创大走廊、良渚文化大走廊和</w:t>
      </w:r>
      <w:r>
        <w:rPr>
          <w:rFonts w:hint="eastAsia" w:cs="Times New Roman"/>
          <w:b w:val="0"/>
          <w:bCs w:val="0"/>
          <w:szCs w:val="32"/>
        </w:rPr>
        <w:t>古今</w:t>
      </w:r>
      <w:r>
        <w:rPr>
          <w:rFonts w:cs="Times New Roman"/>
          <w:b w:val="0"/>
          <w:bCs w:val="0"/>
          <w:szCs w:val="32"/>
        </w:rPr>
        <w:t>千年发展轴为骨架的“</w:t>
      </w:r>
      <w:r>
        <w:rPr>
          <w:rFonts w:hint="eastAsia" w:cs="Times New Roman"/>
          <w:b w:val="0"/>
          <w:bCs w:val="0"/>
        </w:rPr>
        <w:t>两廊一轴</w:t>
      </w:r>
      <w:r>
        <w:rPr>
          <w:rFonts w:cs="Times New Roman"/>
          <w:b w:val="0"/>
          <w:bCs w:val="0"/>
          <w:szCs w:val="32"/>
        </w:rPr>
        <w:t>”空间新格局。</w:t>
      </w:r>
      <w:r>
        <w:rPr>
          <w:rFonts w:cs="Times New Roman"/>
          <w:b w:val="0"/>
          <w:bCs w:val="0"/>
        </w:rPr>
        <w:t>32个社区已纳入省级创建名单，良渚文化村等9个社区获评省级未来社区样板；7个城乡风貌区已纳入省级创建名单，“禅径寻农·径鸬”县域风貌样板区获评全省首批“新时代富春山居图”样板区，“梦想未来”城市新区等4个风貌区获评省级城乡风貌样板区，数量均位居全省前列。</w:t>
      </w:r>
      <w:r>
        <w:rPr>
          <w:rFonts w:cs="Times New Roman"/>
          <w:b w:val="0"/>
          <w:bCs w:val="0"/>
          <w:color w:val="000000"/>
        </w:rPr>
        <w:t>扎实推进以人为核心的新型城镇化，大径山片区美丽城镇集群入选浙江省2022年美丽城镇集群化典型案例，瓶窑镇连续四年获得小城市培育试点考核优秀。</w:t>
      </w:r>
    </w:p>
    <w:p w14:paraId="258DB124">
      <w:pPr>
        <w:pStyle w:val="4"/>
        <w:spacing w:beforeLines="0" w:afterLines="0" w:line="570" w:lineRule="exact"/>
        <w:jc w:val="left"/>
        <w:rPr>
          <w:rFonts w:cs="Times New Roman"/>
          <w:b w:val="0"/>
          <w:bCs w:val="0"/>
          <w:color w:val="000000"/>
        </w:rPr>
      </w:pPr>
      <w:bookmarkStart w:id="133" w:name="_Toc17589"/>
      <w:bookmarkStart w:id="134" w:name="_Toc13937"/>
      <w:r>
        <w:rPr>
          <w:rFonts w:cs="Times New Roman"/>
          <w:color w:val="000000"/>
        </w:rPr>
        <w:t>2</w:t>
      </w:r>
      <w:r>
        <w:rPr>
          <w:rFonts w:hint="eastAsia" w:cs="Times New Roman"/>
          <w:color w:val="000000"/>
        </w:rPr>
        <w:t>.</w:t>
      </w:r>
      <w:r>
        <w:rPr>
          <w:rFonts w:cs="Times New Roman"/>
          <w:color w:val="000000"/>
        </w:rPr>
        <w:t>乡村振兴战略纵深推进</w:t>
      </w:r>
      <w:bookmarkEnd w:id="133"/>
      <w:bookmarkEnd w:id="134"/>
      <w:r>
        <w:rPr>
          <w:rFonts w:cs="Times New Roman"/>
          <w:color w:val="000000"/>
        </w:rPr>
        <w:t>。</w:t>
      </w:r>
      <w:r>
        <w:rPr>
          <w:rFonts w:cs="Times New Roman"/>
          <w:b w:val="0"/>
          <w:bCs w:val="0"/>
          <w:color w:val="000000"/>
        </w:rPr>
        <w:t>扎实推进农业现代化建设，获全省首批乡村振兴领域最高荣誉“神农鼎·铜鼎”，3家数字农场、5家数字牧场、4家数字渔场和1家未来农场入选省级数字农业工厂，数量位列全市第一，入选全省首批农业“机器换人”高质量发展先行县。大径山省级现代农业园区获评十佳省级现代农业园区。径山省级旅游度假区创建扎实推进，“瓶窑老街·非遗体验之旅”“禅茶一味·品茗问道之旅”获评全省休闲农业与乡村旅游精品线路。小古城村入选全国乡村治理示范村、径山镇被评为第二批全国乡村治理示范村镇。2023年上半年农村居民可支配收入30257元、增长6.5%，城乡居民收入倍差1.56，持续位于省市最优行列。</w:t>
      </w:r>
    </w:p>
    <w:p w14:paraId="7D06FA64">
      <w:pPr>
        <w:pStyle w:val="3"/>
        <w:adjustRightInd w:val="0"/>
        <w:snapToGrid w:val="0"/>
        <w:spacing w:beforeLines="0" w:afterLines="0" w:line="570" w:lineRule="exact"/>
        <w:ind w:firstLine="640"/>
        <w:jc w:val="left"/>
        <w:rPr>
          <w:rFonts w:cs="Times New Roman"/>
          <w:color w:val="000000"/>
        </w:rPr>
      </w:pPr>
      <w:bookmarkStart w:id="135" w:name="_Toc16772"/>
      <w:bookmarkStart w:id="136" w:name="_Toc11765"/>
      <w:bookmarkStart w:id="137" w:name="_Toc32590"/>
      <w:bookmarkStart w:id="138" w:name="_Toc2176"/>
      <w:bookmarkStart w:id="139" w:name="_Toc11335"/>
      <w:bookmarkStart w:id="140" w:name="_Toc20749"/>
      <w:bookmarkStart w:id="141" w:name="_Toc20281"/>
      <w:bookmarkStart w:id="142" w:name="_Toc25366"/>
      <w:bookmarkStart w:id="143" w:name="_Toc23223"/>
      <w:bookmarkStart w:id="144" w:name="_Toc8879"/>
      <w:bookmarkStart w:id="145" w:name="_Toc17848"/>
      <w:bookmarkStart w:id="146" w:name="_Toc27541"/>
      <w:bookmarkStart w:id="147" w:name="_Toc144819658"/>
      <w:bookmarkStart w:id="148" w:name="_Toc15085"/>
      <w:r>
        <w:rPr>
          <w:rFonts w:cs="Times New Roman"/>
          <w:color w:val="000000"/>
        </w:rPr>
        <w:t>（六）互联互通体系全面升级</w:t>
      </w:r>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7411D87A">
      <w:pPr>
        <w:adjustRightInd w:val="0"/>
        <w:snapToGrid w:val="0"/>
        <w:spacing w:beforeLines="0" w:afterLines="0" w:line="570" w:lineRule="exact"/>
        <w:ind w:firstLine="640"/>
        <w:jc w:val="left"/>
        <w:rPr>
          <w:rFonts w:cs="Times New Roman"/>
          <w:color w:val="000000"/>
        </w:rPr>
      </w:pPr>
      <w:r>
        <w:rPr>
          <w:rFonts w:cs="Times New Roman"/>
          <w:color w:val="000000"/>
        </w:rPr>
        <w:t>加速完善轨道交通布局，高水平构建现代化综合交通体系，积极推进基础设施建设，有效保障城市供水、排水、电力供给功能，持续推进新一代信息基础设施场景应用。</w:t>
      </w:r>
    </w:p>
    <w:p w14:paraId="6AE887BB">
      <w:pPr>
        <w:adjustRightInd w:val="0"/>
        <w:snapToGrid w:val="0"/>
        <w:spacing w:beforeLines="0" w:afterLines="0" w:line="570" w:lineRule="exact"/>
        <w:ind w:firstLine="643"/>
        <w:jc w:val="left"/>
        <w:outlineLvl w:val="2"/>
        <w:rPr>
          <w:rFonts w:cs="Times New Roman"/>
          <w:color w:val="000000"/>
        </w:rPr>
      </w:pPr>
      <w:bookmarkStart w:id="149" w:name="_Toc28652"/>
      <w:bookmarkStart w:id="150" w:name="_Toc3904"/>
      <w:r>
        <w:rPr>
          <w:rFonts w:cs="Times New Roman"/>
          <w:b/>
          <w:bCs/>
          <w:color w:val="000000"/>
          <w:szCs w:val="32"/>
        </w:rPr>
        <w:t>1</w:t>
      </w:r>
      <w:r>
        <w:rPr>
          <w:rFonts w:hint="eastAsia" w:cs="Times New Roman"/>
          <w:b/>
          <w:bCs/>
          <w:color w:val="000000"/>
          <w:szCs w:val="32"/>
        </w:rPr>
        <w:t>.</w:t>
      </w:r>
      <w:r>
        <w:rPr>
          <w:rFonts w:cs="Times New Roman"/>
          <w:b/>
          <w:bCs/>
          <w:color w:val="000000"/>
          <w:szCs w:val="32"/>
        </w:rPr>
        <w:t>区域协同联动塑造全新格局</w:t>
      </w:r>
      <w:bookmarkEnd w:id="149"/>
      <w:bookmarkEnd w:id="150"/>
      <w:r>
        <w:rPr>
          <w:rFonts w:cs="Times New Roman"/>
          <w:b/>
          <w:bCs/>
          <w:color w:val="000000"/>
          <w:szCs w:val="32"/>
        </w:rPr>
        <w:t>。</w:t>
      </w:r>
      <w:r>
        <w:rPr>
          <w:rFonts w:cs="Times New Roman"/>
          <w:color w:val="000000"/>
          <w:szCs w:val="32"/>
        </w:rPr>
        <w:t>大力实施“西站枢纽工程”，</w:t>
      </w:r>
      <w:r>
        <w:rPr>
          <w:rFonts w:cs="Times New Roman"/>
          <w:color w:val="000000"/>
        </w:rPr>
        <w:t>杭州西站及商合杭铁路湖杭段于2022年9月启用，杭徽余杭入城口精彩亮相，完工104国道、320国道项目，杭州中环余杭区先行段已于2023年二季度开工。</w:t>
      </w:r>
      <w:r>
        <w:rPr>
          <w:rFonts w:cs="Times New Roman"/>
          <w:bCs/>
          <w:color w:val="000000"/>
        </w:rPr>
        <w:t>深入推进“</w:t>
      </w:r>
      <w:r>
        <w:rPr>
          <w:rFonts w:cs="Times New Roman"/>
          <w:bCs/>
          <w:color w:val="000000"/>
          <w:szCs w:val="32"/>
        </w:rPr>
        <w:t>交通畅达工程”</w:t>
      </w:r>
      <w:r>
        <w:rPr>
          <w:rFonts w:cs="Times New Roman"/>
          <w:bCs/>
          <w:color w:val="000000"/>
        </w:rPr>
        <w:t>，</w:t>
      </w:r>
      <w:r>
        <w:rPr>
          <w:rFonts w:cs="Times New Roman"/>
          <w:color w:val="000000"/>
        </w:rPr>
        <w:t>完成杭州轨道交通三期余杭段建设，有序推进四期项目。运溪高架、文一西路快速路余杭段、留祥快速路西延三墩-运溪高架段、莫干山路快速路已建成通车，“窄马路、密路网”路网体系逐步完善。不断推进轨道、公交、慢行交通“三网融合”。2022年完成仁康路公交首末站、黄湖公交中心站项目，启动开工双溪公交首末站、中泰跳头公交首末站项目。</w:t>
      </w:r>
    </w:p>
    <w:p w14:paraId="2D43114F">
      <w:pPr>
        <w:spacing w:beforeLines="0" w:after="0" w:afterLines="0" w:line="570" w:lineRule="exact"/>
        <w:ind w:firstLine="643" w:firstLineChars="200"/>
        <w:jc w:val="left"/>
        <w:rPr>
          <w:rFonts w:cs="Times New Roman"/>
          <w:color w:val="000000"/>
        </w:rPr>
      </w:pPr>
      <w:bookmarkStart w:id="151" w:name="_Toc742"/>
      <w:bookmarkStart w:id="152" w:name="_Toc17866"/>
      <w:r>
        <w:rPr>
          <w:rFonts w:hint="eastAsia" w:cs="Times New Roman"/>
          <w:b/>
          <w:bCs/>
          <w:color w:val="000000"/>
          <w:szCs w:val="32"/>
        </w:rPr>
        <w:t>2.</w:t>
      </w:r>
      <w:r>
        <w:rPr>
          <w:rFonts w:cs="Times New Roman"/>
          <w:b/>
          <w:bCs/>
          <w:color w:val="000000"/>
          <w:szCs w:val="32"/>
        </w:rPr>
        <w:t>市政基础设施体系安全优质</w:t>
      </w:r>
      <w:bookmarkEnd w:id="151"/>
      <w:bookmarkEnd w:id="152"/>
      <w:r>
        <w:rPr>
          <w:rFonts w:cs="Times New Roman"/>
          <w:b/>
          <w:bCs/>
          <w:color w:val="000000"/>
          <w:szCs w:val="32"/>
        </w:rPr>
        <w:t>。</w:t>
      </w:r>
      <w:r>
        <w:rPr>
          <w:rFonts w:hint="default" w:ascii="Times New Roman" w:hAnsi="Times New Roman" w:eastAsia="仿宋_GB2312" w:cs="Times New Roman"/>
          <w:color w:val="000000"/>
          <w:kern w:val="2"/>
          <w:sz w:val="32"/>
          <w:szCs w:val="32"/>
          <w:lang w:val="en-US" w:eastAsia="zh-CN"/>
        </w:rPr>
        <w:t>加快</w:t>
      </w:r>
      <w:r>
        <w:rPr>
          <w:rFonts w:hint="default" w:ascii="Times New Roman" w:hAnsi="Times New Roman" w:eastAsia="仿宋_GB2312" w:cs="Times New Roman"/>
          <w:color w:val="000000"/>
          <w:spacing w:val="-6"/>
          <w:kern w:val="2"/>
          <w:sz w:val="32"/>
          <w:szCs w:val="32"/>
          <w:lang w:val="en-US" w:eastAsia="zh-CN"/>
        </w:rPr>
        <w:t>仁和净水厂及配套设施工程建设进度，有序推进良渚自来水厂一期工程前期报批，切实提高供水安全保障能力。</w:t>
      </w:r>
      <w:r>
        <w:rPr>
          <w:rFonts w:hint="default" w:ascii="Times New Roman" w:hAnsi="Times New Roman" w:eastAsia="仿宋_GB2312" w:cs="Times New Roman"/>
          <w:color w:val="000000"/>
          <w:kern w:val="2"/>
          <w:sz w:val="32"/>
          <w:szCs w:val="32"/>
          <w:lang w:val="en-US" w:eastAsia="zh-CN"/>
        </w:rPr>
        <w:t>建成湖杭铁路杭州西牵引站220</w:t>
      </w:r>
      <w:r>
        <w:rPr>
          <w:rFonts w:hint="default" w:ascii="仿宋_GB2312" w:hAnsi="Times New Roman" w:eastAsia="仿宋_GB2312" w:cs="仿宋_GB2312"/>
          <w:color w:val="000000"/>
          <w:kern w:val="2"/>
          <w:sz w:val="32"/>
          <w:szCs w:val="32"/>
          <w:lang w:val="en-US" w:eastAsia="zh-CN"/>
        </w:rPr>
        <w:t>千伏外部供电工程，加快推进</w:t>
      </w:r>
      <w:r>
        <w:rPr>
          <w:rFonts w:hint="default" w:ascii="Times New Roman" w:hAnsi="Times New Roman" w:eastAsia="仿宋_GB2312" w:cs="Times New Roman"/>
          <w:color w:val="000000"/>
          <w:kern w:val="2"/>
          <w:sz w:val="32"/>
          <w:szCs w:val="32"/>
          <w:lang w:val="en-US" w:eastAsia="zh-CN"/>
        </w:rPr>
        <w:t>220</w:t>
      </w:r>
      <w:r>
        <w:rPr>
          <w:rFonts w:hint="default" w:ascii="仿宋_GB2312" w:hAnsi="Times New Roman" w:eastAsia="仿宋_GB2312" w:cs="仿宋_GB2312"/>
          <w:color w:val="000000"/>
          <w:kern w:val="2"/>
          <w:sz w:val="32"/>
          <w:szCs w:val="32"/>
          <w:lang w:val="en-US" w:eastAsia="zh-CN"/>
        </w:rPr>
        <w:t>千伏海创变、</w:t>
      </w:r>
      <w:r>
        <w:rPr>
          <w:rFonts w:hint="default" w:ascii="Times New Roman" w:hAnsi="Times New Roman" w:eastAsia="仿宋_GB2312" w:cs="Times New Roman"/>
          <w:color w:val="000000"/>
          <w:kern w:val="2"/>
          <w:sz w:val="32"/>
          <w:szCs w:val="32"/>
          <w:lang w:val="en-US" w:eastAsia="zh-CN"/>
        </w:rPr>
        <w:t>110</w:t>
      </w:r>
      <w:r>
        <w:rPr>
          <w:rFonts w:hint="default" w:ascii="仿宋_GB2312" w:hAnsi="Times New Roman" w:eastAsia="仿宋_GB2312" w:cs="仿宋_GB2312"/>
          <w:color w:val="000000"/>
          <w:kern w:val="2"/>
          <w:sz w:val="32"/>
          <w:szCs w:val="32"/>
          <w:lang w:val="en-US" w:eastAsia="zh-CN"/>
        </w:rPr>
        <w:t>千伏师大变等电网项目，保障高铁、亚运以及重大项目用电。投产白鹤滩</w:t>
      </w:r>
      <w:r>
        <w:rPr>
          <w:rFonts w:hint="default" w:ascii="Times New Roman" w:hAnsi="Times New Roman" w:eastAsia="仿宋_GB2312" w:cs="Times New Roman"/>
          <w:color w:val="000000"/>
          <w:kern w:val="2"/>
          <w:sz w:val="32"/>
          <w:szCs w:val="32"/>
          <w:lang w:val="en-US" w:eastAsia="zh-CN"/>
        </w:rPr>
        <w:t>—</w:t>
      </w:r>
      <w:r>
        <w:rPr>
          <w:rFonts w:hint="default" w:ascii="仿宋_GB2312" w:hAnsi="Times New Roman" w:eastAsia="仿宋_GB2312" w:cs="仿宋_GB2312"/>
          <w:color w:val="000000"/>
          <w:kern w:val="2"/>
          <w:sz w:val="32"/>
          <w:szCs w:val="32"/>
          <w:lang w:val="en-US" w:eastAsia="zh-CN"/>
        </w:rPr>
        <w:t>浙江</w:t>
      </w:r>
      <w:r>
        <w:rPr>
          <w:rFonts w:hint="default" w:ascii="Times New Roman" w:hAnsi="Times New Roman" w:eastAsia="仿宋_GB2312" w:cs="Times New Roman"/>
          <w:color w:val="000000"/>
          <w:kern w:val="2"/>
          <w:sz w:val="32"/>
          <w:szCs w:val="32"/>
          <w:lang w:val="en-US" w:eastAsia="zh-CN"/>
        </w:rPr>
        <w:t>±800</w:t>
      </w:r>
      <w:r>
        <w:rPr>
          <w:rFonts w:hint="default" w:ascii="仿宋_GB2312" w:hAnsi="Times New Roman" w:eastAsia="仿宋_GB2312" w:cs="仿宋_GB2312"/>
          <w:color w:val="000000"/>
          <w:kern w:val="2"/>
          <w:sz w:val="32"/>
          <w:szCs w:val="32"/>
          <w:lang w:val="en-US" w:eastAsia="zh-CN"/>
        </w:rPr>
        <w:t>千伏特高压直流工程余杭段及</w:t>
      </w:r>
      <w:r>
        <w:rPr>
          <w:rFonts w:hint="default" w:ascii="Times New Roman" w:hAnsi="Times New Roman" w:eastAsia="仿宋_GB2312" w:cs="Times New Roman"/>
          <w:color w:val="000000"/>
          <w:kern w:val="2"/>
          <w:sz w:val="32"/>
          <w:szCs w:val="32"/>
          <w:lang w:val="en-US" w:eastAsia="zh-CN"/>
        </w:rPr>
        <w:t>500</w:t>
      </w:r>
      <w:r>
        <w:rPr>
          <w:rFonts w:hint="default" w:ascii="仿宋_GB2312" w:hAnsi="Times New Roman" w:eastAsia="仿宋_GB2312" w:cs="仿宋_GB2312"/>
          <w:color w:val="000000"/>
          <w:kern w:val="2"/>
          <w:sz w:val="32"/>
          <w:szCs w:val="32"/>
          <w:lang w:val="en-US" w:eastAsia="zh-CN"/>
        </w:rPr>
        <w:t>千伏送出工程一二期。开展能源绿色低碳发展和稳价保供工程，完成</w:t>
      </w:r>
      <w:r>
        <w:rPr>
          <w:rFonts w:hint="default" w:ascii="Times New Roman" w:hAnsi="Times New Roman" w:eastAsia="仿宋_GB2312" w:cs="Times New Roman"/>
          <w:color w:val="000000"/>
          <w:kern w:val="2"/>
          <w:sz w:val="32"/>
          <w:szCs w:val="32"/>
          <w:lang w:val="en-US" w:eastAsia="zh-CN"/>
        </w:rPr>
        <w:t>7</w:t>
      </w:r>
      <w:r>
        <w:rPr>
          <w:rFonts w:hint="default" w:ascii="仿宋_GB2312" w:hAnsi="Times New Roman" w:eastAsia="仿宋_GB2312" w:cs="仿宋_GB2312"/>
          <w:color w:val="000000"/>
          <w:kern w:val="2"/>
          <w:sz w:val="32"/>
          <w:szCs w:val="32"/>
          <w:lang w:val="en-US" w:eastAsia="zh-CN"/>
        </w:rPr>
        <w:t>处新增综合供能服务站选点和</w:t>
      </w:r>
      <w:r>
        <w:rPr>
          <w:rFonts w:hint="default" w:ascii="Times New Roman" w:hAnsi="Times New Roman" w:eastAsia="仿宋_GB2312" w:cs="Times New Roman"/>
          <w:color w:val="000000"/>
          <w:kern w:val="2"/>
          <w:sz w:val="32"/>
          <w:szCs w:val="32"/>
          <w:lang w:val="en-US" w:eastAsia="zh-CN"/>
        </w:rPr>
        <w:t>4</w:t>
      </w:r>
      <w:r>
        <w:rPr>
          <w:rFonts w:hint="default" w:ascii="仿宋_GB2312" w:hAnsi="Times New Roman" w:eastAsia="仿宋_GB2312" w:cs="仿宋_GB2312"/>
          <w:color w:val="000000"/>
          <w:kern w:val="2"/>
          <w:sz w:val="32"/>
          <w:szCs w:val="32"/>
          <w:lang w:val="en-US" w:eastAsia="zh-CN"/>
        </w:rPr>
        <w:t>处备选。</w:t>
      </w:r>
      <w:r>
        <w:rPr>
          <w:rFonts w:hint="default" w:ascii="Times New Roman" w:hAnsi="Times New Roman" w:eastAsia="仿宋_GB2312" w:cs="Times New Roman"/>
          <w:color w:val="000000"/>
          <w:kern w:val="2"/>
          <w:sz w:val="32"/>
          <w:szCs w:val="32"/>
          <w:lang w:val="en-US" w:eastAsia="zh-CN"/>
        </w:rPr>
        <w:t>截至2023</w:t>
      </w:r>
      <w:r>
        <w:rPr>
          <w:rFonts w:hint="default" w:ascii="仿宋_GB2312" w:hAnsi="Times New Roman" w:eastAsia="仿宋_GB2312" w:cs="仿宋_GB2312"/>
          <w:color w:val="000000"/>
          <w:kern w:val="2"/>
          <w:sz w:val="32"/>
          <w:szCs w:val="32"/>
          <w:lang w:val="en-US" w:eastAsia="zh-CN"/>
        </w:rPr>
        <w:t>年上半年，余杭区范围内共有已建成综合管廊</w:t>
      </w:r>
      <w:r>
        <w:rPr>
          <w:rFonts w:hint="default" w:ascii="Times New Roman" w:hAnsi="Times New Roman" w:eastAsia="仿宋_GB2312" w:cs="Times New Roman"/>
          <w:color w:val="000000"/>
          <w:kern w:val="2"/>
          <w:sz w:val="32"/>
          <w:szCs w:val="32"/>
          <w:lang w:val="en-US" w:eastAsia="zh-CN"/>
        </w:rPr>
        <w:t>11</w:t>
      </w:r>
      <w:r>
        <w:rPr>
          <w:rFonts w:hint="default" w:ascii="仿宋_GB2312" w:hAnsi="Times New Roman" w:eastAsia="仿宋_GB2312" w:cs="仿宋_GB2312"/>
          <w:color w:val="000000"/>
          <w:kern w:val="2"/>
          <w:sz w:val="32"/>
          <w:szCs w:val="32"/>
          <w:lang w:val="en-US" w:eastAsia="zh-CN"/>
        </w:rPr>
        <w:t>条（段），已建成电力隧道</w:t>
      </w:r>
      <w:r>
        <w:rPr>
          <w:rFonts w:hint="default" w:ascii="Times New Roman" w:hAnsi="Times New Roman" w:eastAsia="仿宋_GB2312" w:cs="Times New Roman"/>
          <w:color w:val="000000"/>
          <w:kern w:val="2"/>
          <w:sz w:val="32"/>
          <w:szCs w:val="32"/>
          <w:lang w:val="en-US" w:eastAsia="zh-CN"/>
        </w:rPr>
        <w:t>1</w:t>
      </w:r>
      <w:r>
        <w:rPr>
          <w:rFonts w:hint="default" w:ascii="仿宋_GB2312" w:hAnsi="Times New Roman" w:eastAsia="仿宋_GB2312" w:cs="仿宋_GB2312"/>
          <w:color w:val="000000"/>
          <w:kern w:val="2"/>
          <w:sz w:val="32"/>
          <w:szCs w:val="32"/>
          <w:lang w:val="en-US" w:eastAsia="zh-CN"/>
        </w:rPr>
        <w:t>条，在建电力隧道</w:t>
      </w:r>
      <w:r>
        <w:rPr>
          <w:rFonts w:hint="default" w:ascii="Times New Roman" w:hAnsi="Times New Roman" w:eastAsia="仿宋_GB2312" w:cs="Times New Roman"/>
          <w:color w:val="000000"/>
          <w:kern w:val="2"/>
          <w:sz w:val="32"/>
          <w:szCs w:val="32"/>
          <w:lang w:val="en-US" w:eastAsia="zh-CN"/>
        </w:rPr>
        <w:t>1</w:t>
      </w:r>
      <w:r>
        <w:rPr>
          <w:rFonts w:hint="default" w:ascii="仿宋_GB2312" w:hAnsi="Times New Roman" w:eastAsia="仿宋_GB2312" w:cs="仿宋_GB2312"/>
          <w:color w:val="000000"/>
          <w:kern w:val="2"/>
          <w:sz w:val="32"/>
          <w:szCs w:val="32"/>
          <w:lang w:val="en-US" w:eastAsia="zh-CN"/>
        </w:rPr>
        <w:t>条。</w:t>
      </w:r>
    </w:p>
    <w:p w14:paraId="7DB6DF8A">
      <w:pPr>
        <w:pStyle w:val="26"/>
        <w:spacing w:beforeLines="0" w:after="0" w:afterLines="0" w:line="570" w:lineRule="exact"/>
        <w:ind w:left="0" w:leftChars="0" w:firstLine="643" w:firstLineChars="200"/>
        <w:jc w:val="left"/>
        <w:outlineLvl w:val="2"/>
        <w:rPr>
          <w:rFonts w:cs="Times New Roman"/>
          <w:color w:val="000000"/>
        </w:rPr>
      </w:pPr>
      <w:bookmarkStart w:id="153" w:name="_Toc763"/>
      <w:bookmarkStart w:id="154" w:name="_Toc32737"/>
      <w:r>
        <w:rPr>
          <w:rFonts w:cs="Times New Roman"/>
          <w:b/>
          <w:bCs/>
          <w:color w:val="000000"/>
        </w:rPr>
        <w:t>3</w:t>
      </w:r>
      <w:r>
        <w:rPr>
          <w:rFonts w:hint="eastAsia" w:cs="Times New Roman"/>
          <w:b/>
          <w:bCs/>
          <w:color w:val="000000"/>
        </w:rPr>
        <w:t>.</w:t>
      </w:r>
      <w:r>
        <w:rPr>
          <w:rFonts w:cs="Times New Roman"/>
          <w:b/>
          <w:bCs/>
          <w:color w:val="000000"/>
        </w:rPr>
        <w:t>水利设施实现高标准现代化</w:t>
      </w:r>
      <w:bookmarkEnd w:id="153"/>
      <w:bookmarkEnd w:id="154"/>
      <w:r>
        <w:rPr>
          <w:rFonts w:cs="Times New Roman"/>
          <w:b/>
          <w:bCs/>
          <w:color w:val="000000"/>
        </w:rPr>
        <w:t>。</w:t>
      </w:r>
      <w:r>
        <w:rPr>
          <w:rFonts w:cs="Times New Roman"/>
          <w:color w:val="000000"/>
        </w:rPr>
        <w:t>加快构建防御东苕溪洪水200年一遇、核心区块防洪标准50年一遇、城西科创大走廊片区排涝标准50年一遇的高标准防洪保护网。城西南排西部通道有序推进，西险大塘项目入选浙江省2022年第二批、2023年第一批“红旗”项目，获水利投资建设投资项目落实领域2022年度省政府督查激励。完善水文监测感知体系，开展水利工程监测体系建设，水库大坝安全在线实时研判试点项目成功入选浙江省水利数字化改革最佳应用。</w:t>
      </w:r>
      <w:r>
        <w:rPr>
          <w:rFonts w:cs="Times New Roman"/>
          <w:bCs/>
          <w:color w:val="000000"/>
        </w:rPr>
        <w:t>实现千岛湖＋苕溪双水源供水格局，远期增加富春江水源，切实保障城乡居民用水，构建高水平水源配置网。</w:t>
      </w:r>
    </w:p>
    <w:p w14:paraId="145C6D3A">
      <w:pPr>
        <w:adjustRightInd w:val="0"/>
        <w:snapToGrid w:val="0"/>
        <w:spacing w:beforeLines="0" w:afterLines="0" w:line="570" w:lineRule="exact"/>
        <w:ind w:firstLine="641"/>
        <w:jc w:val="left"/>
        <w:outlineLvl w:val="2"/>
        <w:rPr>
          <w:rFonts w:cs="Times New Roman"/>
          <w:color w:val="000000"/>
        </w:rPr>
      </w:pPr>
      <w:bookmarkStart w:id="155" w:name="_Toc26004"/>
      <w:bookmarkStart w:id="156" w:name="_Toc19565"/>
      <w:r>
        <w:rPr>
          <w:rFonts w:cs="Times New Roman"/>
          <w:b/>
          <w:bCs/>
          <w:color w:val="000000"/>
          <w:szCs w:val="32"/>
        </w:rPr>
        <w:t>4</w:t>
      </w:r>
      <w:r>
        <w:rPr>
          <w:rFonts w:hint="eastAsia" w:cs="Times New Roman"/>
          <w:b/>
          <w:bCs/>
          <w:color w:val="000000"/>
          <w:szCs w:val="32"/>
        </w:rPr>
        <w:t>.</w:t>
      </w:r>
      <w:r>
        <w:rPr>
          <w:rFonts w:cs="Times New Roman"/>
          <w:b/>
          <w:bCs/>
          <w:color w:val="000000"/>
          <w:szCs w:val="32"/>
        </w:rPr>
        <w:t>新型基础设施体系智慧完善</w:t>
      </w:r>
      <w:bookmarkEnd w:id="155"/>
      <w:bookmarkEnd w:id="156"/>
      <w:r>
        <w:rPr>
          <w:rFonts w:cs="Times New Roman"/>
          <w:b/>
          <w:bCs/>
          <w:color w:val="000000"/>
          <w:szCs w:val="32"/>
        </w:rPr>
        <w:t>。</w:t>
      </w:r>
      <w:r>
        <w:rPr>
          <w:rFonts w:cs="Times New Roman"/>
          <w:bCs/>
          <w:color w:val="000000"/>
        </w:rPr>
        <w:t>截至2023年上半年，</w:t>
      </w:r>
      <w:r>
        <w:rPr>
          <w:rFonts w:cs="Times New Roman"/>
          <w:color w:val="000000"/>
        </w:rPr>
        <w:t>累计建成5G基站超3500座，超140个公共充换电站接入杭州e充平台。之江实验室“数字反应堆重大科技基础设施”纳入浙江省创新强基工程项目，2022年建成阿里巴巴浙江云计算仁和数据中心。出台民用无人驾驶航空器运行等级、航线划设及系统技术方面的行业标准3项。完成全域未来社区智慧平台“创享未来”开发，集成省、市、区数十个高频应用，建立区级统建数据仓底座，打通社区数据壁垒，打造全域开放共享的未来社区场景。</w:t>
      </w:r>
    </w:p>
    <w:p w14:paraId="6A3CF015">
      <w:pPr>
        <w:pStyle w:val="3"/>
        <w:numPr>
          <w:ilvl w:val="0"/>
          <w:numId w:val="2"/>
        </w:numPr>
        <w:adjustRightInd w:val="0"/>
        <w:snapToGrid w:val="0"/>
        <w:spacing w:beforeLines="0" w:afterLines="0" w:line="570" w:lineRule="exact"/>
        <w:ind w:firstLine="640"/>
        <w:jc w:val="left"/>
        <w:rPr>
          <w:rFonts w:cs="Times New Roman"/>
          <w:color w:val="000000"/>
        </w:rPr>
      </w:pPr>
      <w:bookmarkStart w:id="157" w:name="_Toc26834"/>
      <w:bookmarkStart w:id="158" w:name="_Toc26234"/>
      <w:bookmarkStart w:id="159" w:name="_Toc5032"/>
      <w:bookmarkStart w:id="160" w:name="_Toc15420"/>
      <w:bookmarkStart w:id="161" w:name="_Toc15225"/>
      <w:bookmarkStart w:id="162" w:name="_Toc26803"/>
      <w:bookmarkStart w:id="163" w:name="_Toc31533"/>
      <w:bookmarkStart w:id="164" w:name="_Toc15743"/>
      <w:bookmarkStart w:id="165" w:name="_Toc27062"/>
      <w:bookmarkStart w:id="166" w:name="_Toc144819659"/>
      <w:bookmarkStart w:id="167" w:name="_Toc30886"/>
      <w:bookmarkStart w:id="168" w:name="_Toc6389"/>
      <w:bookmarkStart w:id="169" w:name="_Toc4583"/>
      <w:bookmarkStart w:id="170" w:name="_Toc21307"/>
      <w:r>
        <w:rPr>
          <w:rFonts w:cs="Times New Roman"/>
          <w:color w:val="000000"/>
        </w:rPr>
        <w:t>文明圣地名片熠熠生辉</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14:paraId="5D280F77">
      <w:pPr>
        <w:pStyle w:val="10"/>
        <w:adjustRightInd w:val="0"/>
        <w:snapToGrid w:val="0"/>
        <w:spacing w:beforeLines="0" w:after="0" w:afterLines="0" w:line="570" w:lineRule="exact"/>
        <w:ind w:firstLine="640" w:firstLineChars="200"/>
        <w:jc w:val="left"/>
        <w:rPr>
          <w:rFonts w:cs="Times New Roman"/>
          <w:color w:val="000000"/>
        </w:rPr>
      </w:pPr>
      <w:r>
        <w:rPr>
          <w:rFonts w:cs="Times New Roman"/>
          <w:color w:val="000000"/>
        </w:rPr>
        <w:t>积极保护传承历史文化，加强文明建设引领，全域推进“文旅+”发展，实现文化事业和文化产业繁荣发展。</w:t>
      </w:r>
    </w:p>
    <w:p w14:paraId="5487467A">
      <w:pPr>
        <w:adjustRightInd w:val="0"/>
        <w:snapToGrid w:val="0"/>
        <w:spacing w:beforeLines="0" w:afterLines="0" w:line="570" w:lineRule="exact"/>
        <w:ind w:firstLine="643"/>
        <w:jc w:val="left"/>
        <w:outlineLvl w:val="2"/>
        <w:rPr>
          <w:rFonts w:cs="Times New Roman"/>
          <w:color w:val="000000"/>
        </w:rPr>
      </w:pPr>
      <w:bookmarkStart w:id="171" w:name="_Toc4688"/>
      <w:bookmarkStart w:id="172" w:name="_Toc25912"/>
      <w:r>
        <w:rPr>
          <w:rFonts w:cs="Times New Roman"/>
          <w:b/>
          <w:bCs/>
          <w:color w:val="000000"/>
          <w:szCs w:val="32"/>
        </w:rPr>
        <w:t>1</w:t>
      </w:r>
      <w:r>
        <w:rPr>
          <w:rFonts w:hint="eastAsia" w:cs="Times New Roman"/>
          <w:b/>
          <w:bCs/>
          <w:color w:val="000000"/>
          <w:szCs w:val="32"/>
        </w:rPr>
        <w:t>.</w:t>
      </w:r>
      <w:r>
        <w:rPr>
          <w:rFonts w:cs="Times New Roman"/>
          <w:b/>
          <w:bCs/>
          <w:color w:val="000000"/>
          <w:szCs w:val="32"/>
        </w:rPr>
        <w:t>历史与现代文化有机融合</w:t>
      </w:r>
      <w:bookmarkEnd w:id="171"/>
      <w:bookmarkEnd w:id="172"/>
      <w:r>
        <w:rPr>
          <w:rFonts w:cs="Times New Roman"/>
          <w:b/>
          <w:bCs/>
          <w:color w:val="000000"/>
          <w:szCs w:val="32"/>
        </w:rPr>
        <w:t>。</w:t>
      </w:r>
      <w:r>
        <w:rPr>
          <w:rFonts w:cs="Times New Roman"/>
          <w:color w:val="000000"/>
        </w:rPr>
        <w:t>径山茶宴入选人类非遗，中泰竹笛非遗工坊入选全国“非遗工坊典型案例”名单，余杭区入选“浙江省文化传承生态保护区”名单。</w:t>
      </w:r>
      <w:r>
        <w:rPr>
          <w:rFonts w:cs="Times New Roman"/>
          <w:bCs/>
          <w:color w:val="000000"/>
        </w:rPr>
        <w:t>良渚古城遗址列入中华文明探源工程。杭州第19届亚运会火种采集仪式在良渚古城遗址公园举办，成功打响亚运“第一枪”，全网传播达到百亿量级。</w:t>
      </w:r>
      <w:r>
        <w:rPr>
          <w:rStyle w:val="48"/>
          <w:rFonts w:ascii="Times New Roman"/>
          <w:color w:val="000000"/>
        </w:rPr>
        <w:t>瓶窑镇获评全省大花园耀眼明珠</w:t>
      </w:r>
      <w:r>
        <w:rPr>
          <w:rStyle w:val="48"/>
          <w:rFonts w:hint="eastAsia"/>
          <w:color w:val="000000"/>
        </w:rPr>
        <w:t>。</w:t>
      </w:r>
      <w:r>
        <w:rPr>
          <w:rFonts w:cs="Times New Roman"/>
          <w:bCs/>
          <w:color w:val="000000"/>
        </w:rPr>
        <w:t>“良渚遗址5000+”数智应用获评2022年度全省“最佳应用”。</w:t>
      </w:r>
      <w:r>
        <w:rPr>
          <w:rFonts w:cs="Times New Roman"/>
          <w:color w:val="000000"/>
          <w:szCs w:val="32"/>
        </w:rPr>
        <w:t>获评全市唯一“全省首批</w:t>
      </w:r>
      <w:r>
        <w:rPr>
          <w:rFonts w:hint="eastAsia" w:cs="Times New Roman"/>
          <w:color w:val="000000"/>
          <w:szCs w:val="32"/>
        </w:rPr>
        <w:t>‘</w:t>
      </w:r>
      <w:r>
        <w:rPr>
          <w:rFonts w:cs="Times New Roman"/>
          <w:color w:val="000000"/>
          <w:szCs w:val="32"/>
        </w:rPr>
        <w:t>红色根脉</w:t>
      </w:r>
      <w:r>
        <w:rPr>
          <w:rFonts w:hint="eastAsia" w:cs="Times New Roman"/>
          <w:color w:val="000000"/>
          <w:szCs w:val="32"/>
        </w:rPr>
        <w:t>’</w:t>
      </w:r>
      <w:r>
        <w:rPr>
          <w:rFonts w:cs="Times New Roman"/>
          <w:color w:val="000000"/>
          <w:szCs w:val="32"/>
        </w:rPr>
        <w:t>强基示范县（市区）”</w:t>
      </w:r>
      <w:r>
        <w:rPr>
          <w:rFonts w:cs="Times New Roman"/>
          <w:color w:val="000000"/>
        </w:rPr>
        <w:t>。作为浙江省唯一区县圆满完成赴二十大主会场进行新闻报道的光荣使命。</w:t>
      </w:r>
    </w:p>
    <w:p w14:paraId="167F5C79">
      <w:pPr>
        <w:adjustRightInd w:val="0"/>
        <w:snapToGrid w:val="0"/>
        <w:spacing w:beforeLines="0" w:afterLines="0" w:line="570" w:lineRule="exact"/>
        <w:ind w:firstLine="643"/>
        <w:jc w:val="left"/>
        <w:outlineLvl w:val="2"/>
        <w:rPr>
          <w:rFonts w:cs="Times New Roman"/>
          <w:color w:val="000000"/>
        </w:rPr>
      </w:pPr>
      <w:bookmarkStart w:id="173" w:name="_Toc26870"/>
      <w:bookmarkStart w:id="174" w:name="_Toc9338"/>
      <w:r>
        <w:rPr>
          <w:rFonts w:cs="Times New Roman"/>
          <w:b/>
          <w:bCs/>
          <w:color w:val="000000"/>
          <w:szCs w:val="32"/>
        </w:rPr>
        <w:t>2</w:t>
      </w:r>
      <w:r>
        <w:rPr>
          <w:rFonts w:hint="eastAsia" w:cs="Times New Roman"/>
          <w:b/>
          <w:bCs/>
          <w:color w:val="000000"/>
          <w:szCs w:val="32"/>
        </w:rPr>
        <w:t>.</w:t>
      </w:r>
      <w:r>
        <w:rPr>
          <w:rFonts w:cs="Times New Roman"/>
          <w:b/>
          <w:bCs/>
          <w:color w:val="000000"/>
          <w:szCs w:val="32"/>
        </w:rPr>
        <w:t>公共文体事业实现繁荣发展</w:t>
      </w:r>
      <w:bookmarkEnd w:id="173"/>
      <w:bookmarkEnd w:id="174"/>
      <w:r>
        <w:rPr>
          <w:rFonts w:cs="Times New Roman"/>
          <w:b/>
          <w:bCs/>
          <w:color w:val="000000"/>
          <w:szCs w:val="32"/>
        </w:rPr>
        <w:t>。</w:t>
      </w:r>
      <w:r>
        <w:rPr>
          <w:rFonts w:cs="Times New Roman"/>
          <w:bCs/>
          <w:color w:val="000000"/>
        </w:rPr>
        <w:t>杭州国家版本馆落成开放，</w:t>
      </w:r>
      <w:r>
        <w:rPr>
          <w:rFonts w:hint="eastAsia" w:cs="Times New Roman"/>
          <w:color w:val="000000"/>
        </w:rPr>
        <w:t>推进未来科技文化中心等重大文体设施建设</w:t>
      </w:r>
      <w:r>
        <w:rPr>
          <w:rFonts w:cs="Times New Roman"/>
          <w:color w:val="000000"/>
        </w:rPr>
        <w:t>。认定杭州书房5个，“余阅”公共阅读空间52个。持续构建城市10分钟健身圈和村社15分钟健身圈。深入实施创新实施文化惠民工程、文艺精品工程，开展文艺赛事、“三送一走”等活动超2.6万场，参与群众近3000万人次。全区镇街综合文化站、城市书房、文化驿站、余阅空间等近百分百采用社会化运营，初步形成市场化配置公共文化资源新格局。</w:t>
      </w:r>
    </w:p>
    <w:p w14:paraId="19F45B79">
      <w:pPr>
        <w:adjustRightInd w:val="0"/>
        <w:snapToGrid w:val="0"/>
        <w:spacing w:beforeLines="0" w:afterLines="0" w:line="570" w:lineRule="exact"/>
        <w:ind w:firstLine="643"/>
        <w:jc w:val="left"/>
        <w:outlineLvl w:val="2"/>
        <w:rPr>
          <w:rFonts w:cs="Times New Roman"/>
          <w:color w:val="000000"/>
        </w:rPr>
      </w:pPr>
      <w:bookmarkStart w:id="175" w:name="_Toc3526"/>
      <w:bookmarkStart w:id="176" w:name="_Toc25935"/>
      <w:r>
        <w:rPr>
          <w:rFonts w:cs="Times New Roman"/>
          <w:b/>
          <w:bCs/>
          <w:color w:val="000000"/>
          <w:szCs w:val="32"/>
        </w:rPr>
        <w:t>3</w:t>
      </w:r>
      <w:r>
        <w:rPr>
          <w:rFonts w:hint="eastAsia" w:cs="Times New Roman"/>
          <w:b/>
          <w:bCs/>
          <w:color w:val="000000"/>
          <w:szCs w:val="32"/>
        </w:rPr>
        <w:t>.</w:t>
      </w:r>
      <w:r>
        <w:rPr>
          <w:rFonts w:cs="Times New Roman"/>
          <w:b/>
          <w:bCs/>
          <w:color w:val="000000"/>
          <w:szCs w:val="32"/>
        </w:rPr>
        <w:t>文旅融合发展样板稳步成型</w:t>
      </w:r>
      <w:bookmarkEnd w:id="175"/>
      <w:bookmarkEnd w:id="176"/>
      <w:r>
        <w:rPr>
          <w:rFonts w:cs="Times New Roman"/>
          <w:b/>
          <w:bCs/>
          <w:color w:val="000000"/>
          <w:szCs w:val="32"/>
        </w:rPr>
        <w:t>。</w:t>
      </w:r>
      <w:r>
        <w:rPr>
          <w:rFonts w:cs="Times New Roman"/>
          <w:color w:val="000000"/>
        </w:rPr>
        <w:t>发布全国首个区县级余杭区文旅融合指数和文旅IP标准。成功入选省级文化产业赋能乡村振兴试点。径山镇小古城村入选浙江省首批“金3A级景区村庄”培育名单，鸬鸟房车营地被评为“2022年浙江省运动休闲旅游优秀项目”。余杭纸伞馆、径山镇五峰山房入选首批杭州市非遗体验点，“良渚文化和径山茶文化”非遗之旅入选首批杭州非遗旅游主题旅游线路。</w:t>
      </w:r>
      <w:r>
        <w:rPr>
          <w:rFonts w:cs="Times New Roman"/>
          <w:color w:val="000000"/>
          <w:szCs w:val="32"/>
        </w:rPr>
        <w:t>良渚数字文化社区创建成为全省唯一国家对外文化贸易基地（杭州）</w:t>
      </w:r>
      <w:r>
        <w:rPr>
          <w:rFonts w:cs="Times New Roman"/>
          <w:color w:val="000000"/>
        </w:rPr>
        <w:t>。</w:t>
      </w:r>
    </w:p>
    <w:p w14:paraId="00DA1866">
      <w:pPr>
        <w:pStyle w:val="3"/>
        <w:numPr>
          <w:ilvl w:val="0"/>
          <w:numId w:val="2"/>
        </w:numPr>
        <w:adjustRightInd w:val="0"/>
        <w:snapToGrid w:val="0"/>
        <w:spacing w:beforeLines="0" w:afterLines="0" w:line="570" w:lineRule="exact"/>
        <w:ind w:firstLine="640"/>
        <w:jc w:val="left"/>
        <w:rPr>
          <w:rFonts w:cs="Times New Roman"/>
          <w:color w:val="000000"/>
        </w:rPr>
      </w:pPr>
      <w:bookmarkStart w:id="177" w:name="_Toc12424"/>
      <w:bookmarkStart w:id="178" w:name="_Toc8934"/>
      <w:bookmarkStart w:id="179" w:name="_Toc17548"/>
      <w:bookmarkStart w:id="180" w:name="_Toc26856"/>
      <w:bookmarkStart w:id="181" w:name="_Toc5937"/>
      <w:bookmarkStart w:id="182" w:name="_Toc22813"/>
      <w:bookmarkStart w:id="183" w:name="_Toc22040"/>
      <w:bookmarkStart w:id="184" w:name="_Toc144819660"/>
      <w:bookmarkStart w:id="185" w:name="_Toc9374"/>
      <w:bookmarkStart w:id="186" w:name="_Toc16367"/>
      <w:bookmarkStart w:id="187" w:name="_Toc29559"/>
      <w:bookmarkStart w:id="188" w:name="_Toc4893"/>
      <w:bookmarkStart w:id="189" w:name="_Toc26219"/>
      <w:bookmarkStart w:id="190" w:name="_Toc20954"/>
      <w:r>
        <w:rPr>
          <w:rFonts w:cs="Times New Roman"/>
          <w:color w:val="000000"/>
        </w:rPr>
        <w:t>生态宜居环境持续优化</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14:paraId="65B8A499">
      <w:pPr>
        <w:adjustRightInd w:val="0"/>
        <w:snapToGrid w:val="0"/>
        <w:spacing w:beforeLines="0" w:afterLines="0" w:line="570" w:lineRule="exact"/>
        <w:ind w:firstLine="640"/>
        <w:jc w:val="left"/>
        <w:rPr>
          <w:rFonts w:cs="Times New Roman"/>
          <w:color w:val="000000"/>
        </w:rPr>
      </w:pPr>
      <w:r>
        <w:rPr>
          <w:rFonts w:cs="Times New Roman"/>
          <w:color w:val="000000"/>
        </w:rPr>
        <w:t>坚定践行“绿水青山就是金山银山”理念，绿色低碳建设迈出新步伐。逐步构建“全域美丽”生态，建设最忆江南“湿地水城”。开展全面高水平的环境保卫战，生态环境保护能力日益提升。</w:t>
      </w:r>
    </w:p>
    <w:p w14:paraId="1749B926">
      <w:pPr>
        <w:adjustRightInd w:val="0"/>
        <w:snapToGrid w:val="0"/>
        <w:spacing w:beforeLines="0" w:afterLines="0" w:line="570" w:lineRule="exact"/>
        <w:ind w:firstLine="643"/>
        <w:jc w:val="left"/>
        <w:outlineLvl w:val="2"/>
        <w:rPr>
          <w:rFonts w:cs="Times New Roman"/>
          <w:color w:val="000000"/>
        </w:rPr>
      </w:pPr>
      <w:bookmarkStart w:id="191" w:name="_Toc20496"/>
      <w:bookmarkStart w:id="192" w:name="_Toc24118"/>
      <w:r>
        <w:rPr>
          <w:rFonts w:cs="Times New Roman"/>
          <w:b/>
          <w:bCs/>
          <w:color w:val="000000"/>
          <w:szCs w:val="32"/>
        </w:rPr>
        <w:t>1</w:t>
      </w:r>
      <w:r>
        <w:rPr>
          <w:rFonts w:hint="eastAsia" w:cs="Times New Roman"/>
          <w:b/>
          <w:bCs/>
          <w:color w:val="000000"/>
          <w:szCs w:val="32"/>
        </w:rPr>
        <w:t>.</w:t>
      </w:r>
      <w:r>
        <w:rPr>
          <w:rFonts w:cs="Times New Roman"/>
          <w:b/>
          <w:bCs/>
          <w:color w:val="000000"/>
          <w:szCs w:val="32"/>
        </w:rPr>
        <w:t>“全域美丽”生态本底得到夯实</w:t>
      </w:r>
      <w:bookmarkEnd w:id="191"/>
      <w:bookmarkEnd w:id="192"/>
      <w:r>
        <w:rPr>
          <w:rFonts w:cs="Times New Roman"/>
          <w:b/>
          <w:bCs/>
          <w:color w:val="000000"/>
          <w:szCs w:val="32"/>
        </w:rPr>
        <w:t>。</w:t>
      </w:r>
      <w:r>
        <w:rPr>
          <w:rFonts w:cs="Times New Roman"/>
          <w:color w:val="000000"/>
        </w:rPr>
        <w:t>正式启用“三区三线”成果，重点保障近期建设项目和集建区范围内无永农。</w:t>
      </w:r>
      <w:r>
        <w:rPr>
          <w:rFonts w:cs="Times New Roman"/>
          <w:bCs/>
          <w:color w:val="000000"/>
        </w:rPr>
        <w:t>大力实施碧水安澜工程，</w:t>
      </w:r>
      <w:r>
        <w:rPr>
          <w:rFonts w:cs="Times New Roman"/>
          <w:color w:val="000000"/>
        </w:rPr>
        <w:t>梦溪水乡、北湖、三白潭等湿地综保工程持续推进，荣获全省第一批观鸟胜地。发布《余杭区湿地保护</w:t>
      </w:r>
      <w:r>
        <w:rPr>
          <w:rFonts w:hint="eastAsia" w:cs="Times New Roman"/>
          <w:color w:val="000000"/>
          <w:lang w:eastAsia="zh-CN"/>
        </w:rPr>
        <w:t>“十四五”</w:t>
      </w:r>
      <w:r>
        <w:rPr>
          <w:rFonts w:cs="Times New Roman"/>
          <w:color w:val="000000"/>
        </w:rPr>
        <w:t>规划（2021-2025）》，三白潭湿地设立保护小区1个，创建小微湿地示范点10个。高水平推进千万亩森林质量精准提升工程，实现12个镇街省级森林城镇全覆盖。</w:t>
      </w:r>
      <w:bookmarkStart w:id="321" w:name="_GoBack"/>
      <w:bookmarkEnd w:id="321"/>
    </w:p>
    <w:p w14:paraId="5817F7B5">
      <w:pPr>
        <w:adjustRightInd w:val="0"/>
        <w:snapToGrid w:val="0"/>
        <w:spacing w:beforeLines="0" w:afterLines="0" w:line="570" w:lineRule="exact"/>
        <w:ind w:firstLine="643"/>
        <w:jc w:val="left"/>
        <w:outlineLvl w:val="2"/>
        <w:rPr>
          <w:rFonts w:cs="Times New Roman"/>
          <w:color w:val="000000"/>
        </w:rPr>
      </w:pPr>
      <w:bookmarkStart w:id="193" w:name="_Toc21150"/>
      <w:bookmarkStart w:id="194" w:name="_Toc1335"/>
      <w:r>
        <w:rPr>
          <w:rFonts w:cs="Times New Roman"/>
          <w:b/>
          <w:bCs/>
          <w:color w:val="000000"/>
          <w:szCs w:val="32"/>
        </w:rPr>
        <w:t>2</w:t>
      </w:r>
      <w:r>
        <w:rPr>
          <w:rFonts w:hint="eastAsia" w:cs="Times New Roman"/>
          <w:b/>
          <w:bCs/>
          <w:color w:val="000000"/>
          <w:szCs w:val="32"/>
        </w:rPr>
        <w:t>.</w:t>
      </w:r>
      <w:r>
        <w:rPr>
          <w:rFonts w:cs="Times New Roman"/>
          <w:b/>
          <w:bCs/>
          <w:color w:val="000000"/>
          <w:szCs w:val="32"/>
        </w:rPr>
        <w:t>“蓝天碧水净土”环境有效保卫</w:t>
      </w:r>
      <w:bookmarkEnd w:id="193"/>
      <w:bookmarkEnd w:id="194"/>
      <w:r>
        <w:rPr>
          <w:rFonts w:cs="Times New Roman"/>
          <w:b/>
          <w:bCs/>
          <w:color w:val="000000"/>
          <w:szCs w:val="32"/>
        </w:rPr>
        <w:t>。</w:t>
      </w:r>
      <w:r>
        <w:rPr>
          <w:rFonts w:cs="Times New Roman"/>
          <w:color w:val="000000"/>
        </w:rPr>
        <w:t>推进挥发性有机物专项治理工作，严格落实工地“控尘十条”和“八个百分之百”扬尘防控长效措施，强化城乡废气治理。高水平持续推进“五水共治”工作，全面深化“污水零直排区”创建工作。</w:t>
      </w:r>
      <w:r>
        <w:rPr>
          <w:rFonts w:cs="Times New Roman"/>
          <w:bCs/>
          <w:color w:val="000000"/>
        </w:rPr>
        <w:t>推进</w:t>
      </w:r>
      <w:r>
        <w:rPr>
          <w:rFonts w:cs="Times New Roman"/>
          <w:color w:val="000000"/>
        </w:rPr>
        <w:t>全区土壤重点监管单位污染防治工作，督促企业做好年度自行监测、隐患排查、有毒有害物质排放等相关工作，降低环境风险。1项技术入选生态环境部“无废城市”建设先进适用技术，1项技术入选浙江省“无废城市”建设先进适用技术，4个典型入选全省“无废城市”巡礼和无废之窗。</w:t>
      </w:r>
    </w:p>
    <w:p w14:paraId="112C23BB">
      <w:pPr>
        <w:adjustRightInd w:val="0"/>
        <w:snapToGrid w:val="0"/>
        <w:spacing w:beforeLines="0" w:afterLines="0" w:line="570" w:lineRule="exact"/>
        <w:ind w:firstLine="643"/>
        <w:jc w:val="left"/>
        <w:outlineLvl w:val="2"/>
        <w:rPr>
          <w:rFonts w:cs="Times New Roman"/>
          <w:color w:val="000000"/>
        </w:rPr>
      </w:pPr>
      <w:bookmarkStart w:id="195" w:name="_Toc26871"/>
      <w:bookmarkStart w:id="196" w:name="_Toc14986"/>
      <w:r>
        <w:rPr>
          <w:rFonts w:cs="Times New Roman"/>
          <w:b/>
          <w:bCs/>
          <w:color w:val="000000"/>
          <w:szCs w:val="32"/>
        </w:rPr>
        <w:t>3</w:t>
      </w:r>
      <w:r>
        <w:rPr>
          <w:rFonts w:hint="eastAsia" w:cs="Times New Roman"/>
          <w:b/>
          <w:bCs/>
          <w:color w:val="000000"/>
          <w:szCs w:val="32"/>
        </w:rPr>
        <w:t>.</w:t>
      </w:r>
      <w:r>
        <w:rPr>
          <w:rFonts w:cs="Times New Roman"/>
          <w:b/>
          <w:bCs/>
          <w:color w:val="000000"/>
          <w:szCs w:val="32"/>
        </w:rPr>
        <w:t>绿色低碳美丽家园建设卓有成效</w:t>
      </w:r>
      <w:bookmarkEnd w:id="195"/>
      <w:bookmarkEnd w:id="196"/>
      <w:r>
        <w:rPr>
          <w:rFonts w:cs="Times New Roman"/>
          <w:b/>
          <w:bCs/>
          <w:color w:val="000000"/>
          <w:szCs w:val="32"/>
        </w:rPr>
        <w:t>。</w:t>
      </w:r>
      <w:r>
        <w:rPr>
          <w:rFonts w:cs="Times New Roman"/>
          <w:color w:val="000000"/>
          <w:szCs w:val="32"/>
        </w:rPr>
        <w:t>在全国率先开展企业减污降碳协同增效指数研究，正式发布减污降碳协同增效企业指数，创新首发“余杭碳眼”特色场景应用，</w:t>
      </w:r>
      <w:r>
        <w:rPr>
          <w:rFonts w:cs="Times New Roman"/>
          <w:bCs/>
          <w:color w:val="000000"/>
          <w:szCs w:val="32"/>
        </w:rPr>
        <w:t>持续扩大碳账户覆盖范围，</w:t>
      </w:r>
      <w:r>
        <w:rPr>
          <w:rFonts w:cs="Times New Roman"/>
          <w:color w:val="000000"/>
          <w:szCs w:val="32"/>
        </w:rPr>
        <w:t>成功举办浙江省“全国低碳日”活动。</w:t>
      </w:r>
      <w:r>
        <w:rPr>
          <w:rFonts w:cs="Times New Roman"/>
          <w:color w:val="000000"/>
        </w:rPr>
        <w:t>大力宣传推广全区生态文明建设的具体举措和生动实践，</w:t>
      </w:r>
      <w:r>
        <w:rPr>
          <w:rFonts w:cs="Times New Roman"/>
          <w:bCs/>
          <w:color w:val="000000"/>
        </w:rPr>
        <w:t>持续完善</w:t>
      </w:r>
      <w:r>
        <w:rPr>
          <w:rFonts w:cs="Times New Roman"/>
          <w:color w:val="000000"/>
        </w:rPr>
        <w:t>落实生态环境损害赔偿制度。成功创建绿色学校、生态文明教育基地等“多绿细胞”。</w:t>
      </w:r>
    </w:p>
    <w:p w14:paraId="09B86F52">
      <w:pPr>
        <w:pStyle w:val="3"/>
        <w:numPr>
          <w:ilvl w:val="0"/>
          <w:numId w:val="2"/>
        </w:numPr>
        <w:adjustRightInd w:val="0"/>
        <w:snapToGrid w:val="0"/>
        <w:spacing w:beforeLines="0" w:afterLines="0" w:line="570" w:lineRule="exact"/>
        <w:ind w:firstLine="640"/>
        <w:jc w:val="left"/>
        <w:rPr>
          <w:rFonts w:cs="Times New Roman"/>
          <w:color w:val="000000"/>
        </w:rPr>
      </w:pPr>
      <w:bookmarkStart w:id="197" w:name="_Toc12034"/>
      <w:bookmarkStart w:id="198" w:name="_Toc8100"/>
      <w:bookmarkStart w:id="199" w:name="_Toc19091"/>
      <w:bookmarkStart w:id="200" w:name="_Toc17530"/>
      <w:bookmarkStart w:id="201" w:name="_Toc17133"/>
      <w:bookmarkStart w:id="202" w:name="_Toc16020"/>
      <w:bookmarkStart w:id="203" w:name="_Toc32719"/>
      <w:bookmarkStart w:id="204" w:name="_Toc30477"/>
      <w:bookmarkStart w:id="205" w:name="_Toc18876"/>
      <w:bookmarkStart w:id="206" w:name="_Toc144819661"/>
      <w:bookmarkStart w:id="207" w:name="_Toc26067"/>
      <w:bookmarkStart w:id="208" w:name="_Toc2731"/>
      <w:bookmarkStart w:id="209" w:name="_Toc28765"/>
      <w:bookmarkStart w:id="210" w:name="_Toc12554"/>
      <w:r>
        <w:rPr>
          <w:rFonts w:cs="Times New Roman"/>
          <w:color w:val="000000"/>
        </w:rPr>
        <w:t>共富美好家园树立样板</w:t>
      </w:r>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p>
    <w:p w14:paraId="1D8BFE80">
      <w:pPr>
        <w:adjustRightInd w:val="0"/>
        <w:snapToGrid w:val="0"/>
        <w:spacing w:beforeLines="0" w:afterLines="0" w:line="570" w:lineRule="exact"/>
        <w:ind w:firstLine="640"/>
        <w:jc w:val="left"/>
        <w:rPr>
          <w:rFonts w:cs="Times New Roman"/>
          <w:color w:val="000000"/>
        </w:rPr>
      </w:pPr>
      <w:r>
        <w:rPr>
          <w:rFonts w:cs="Times New Roman"/>
          <w:color w:val="000000"/>
        </w:rPr>
        <w:t>强调以人为本，在扎实推进共同富裕建设中迈出美好家园建设新步伐。在教育、医疗、养老、文化等方面新增多项资源覆盖和改造提升规划，加速构建均衡优质的基本公共服务和保障体系。</w:t>
      </w:r>
    </w:p>
    <w:p w14:paraId="301D1B74">
      <w:pPr>
        <w:adjustRightInd w:val="0"/>
        <w:snapToGrid w:val="0"/>
        <w:spacing w:beforeLines="0" w:afterLines="0" w:line="570" w:lineRule="exact"/>
        <w:ind w:firstLine="643"/>
        <w:jc w:val="left"/>
        <w:outlineLvl w:val="2"/>
        <w:rPr>
          <w:rFonts w:cs="Times New Roman"/>
          <w:color w:val="000000"/>
        </w:rPr>
      </w:pPr>
      <w:bookmarkStart w:id="211" w:name="_Toc2476"/>
      <w:bookmarkStart w:id="212" w:name="_Toc6142"/>
      <w:r>
        <w:rPr>
          <w:rFonts w:cs="Times New Roman"/>
          <w:b/>
          <w:bCs/>
          <w:color w:val="000000"/>
          <w:szCs w:val="32"/>
        </w:rPr>
        <w:t>1</w:t>
      </w:r>
      <w:r>
        <w:rPr>
          <w:rFonts w:hint="eastAsia" w:cs="Times New Roman"/>
          <w:b/>
          <w:bCs/>
          <w:color w:val="000000"/>
          <w:szCs w:val="32"/>
        </w:rPr>
        <w:t>.</w:t>
      </w:r>
      <w:r>
        <w:rPr>
          <w:rFonts w:cs="Times New Roman"/>
          <w:b/>
          <w:bCs/>
          <w:color w:val="000000"/>
          <w:szCs w:val="32"/>
        </w:rPr>
        <w:t>人口均衡型社会稳定发展</w:t>
      </w:r>
      <w:bookmarkEnd w:id="211"/>
      <w:bookmarkEnd w:id="212"/>
      <w:r>
        <w:rPr>
          <w:rFonts w:cs="Times New Roman"/>
          <w:b/>
          <w:bCs/>
          <w:color w:val="000000"/>
          <w:szCs w:val="32"/>
        </w:rPr>
        <w:t>。</w:t>
      </w:r>
      <w:r>
        <w:rPr>
          <w:rFonts w:cs="Times New Roman"/>
          <w:bCs/>
          <w:color w:val="000000"/>
        </w:rPr>
        <w:t>2022年新增示范型居家养老服务照料中心12家，“舒心养老”智慧应用平台提供助餐服务160万余人次，累计实施600</w:t>
      </w:r>
      <w:r>
        <w:rPr>
          <w:rFonts w:cs="Times New Roman"/>
          <w:color w:val="000000"/>
        </w:rPr>
        <w:t>户困难老年人家庭适老化改造。2022年全区新增婴幼儿照护服务托位1300余个，社区婴幼儿成长驿站31家，12个镇街实现托育机构全覆盖。对标省市，构建5分钟生活圈，完善新型公共服务体系，保障老人、幼儿、青少年、其他居民的文化教育和日常生活等需求。落实国土空间规划格局新要求，重点完善科技文化中心、文化综合体、大剧院、图书馆等区级以上公共文化设施体系。</w:t>
      </w:r>
    </w:p>
    <w:p w14:paraId="6DE1BAD3">
      <w:pPr>
        <w:adjustRightInd w:val="0"/>
        <w:snapToGrid w:val="0"/>
        <w:spacing w:beforeLines="0" w:afterLines="0" w:line="570" w:lineRule="exact"/>
        <w:ind w:firstLine="643"/>
        <w:jc w:val="left"/>
        <w:outlineLvl w:val="2"/>
        <w:rPr>
          <w:rFonts w:cs="Times New Roman"/>
          <w:color w:val="000000"/>
        </w:rPr>
      </w:pPr>
      <w:bookmarkStart w:id="213" w:name="_Toc13971"/>
      <w:bookmarkStart w:id="214" w:name="_Toc11774"/>
      <w:r>
        <w:rPr>
          <w:rFonts w:cs="Times New Roman"/>
          <w:b/>
          <w:bCs/>
          <w:color w:val="000000"/>
          <w:szCs w:val="32"/>
        </w:rPr>
        <w:t>2</w:t>
      </w:r>
      <w:r>
        <w:rPr>
          <w:rFonts w:hint="eastAsia" w:cs="Times New Roman"/>
          <w:b/>
          <w:bCs/>
          <w:color w:val="000000"/>
          <w:szCs w:val="32"/>
        </w:rPr>
        <w:t>.</w:t>
      </w:r>
      <w:r>
        <w:rPr>
          <w:rFonts w:cs="Times New Roman"/>
          <w:b/>
          <w:bCs/>
          <w:color w:val="000000"/>
          <w:szCs w:val="32"/>
        </w:rPr>
        <w:t>教育现代化水平不断提升</w:t>
      </w:r>
      <w:bookmarkEnd w:id="213"/>
      <w:bookmarkEnd w:id="214"/>
      <w:r>
        <w:rPr>
          <w:rFonts w:cs="Times New Roman"/>
          <w:b/>
          <w:bCs/>
          <w:color w:val="000000"/>
          <w:szCs w:val="32"/>
        </w:rPr>
        <w:t>。</w:t>
      </w:r>
      <w:r>
        <w:rPr>
          <w:rFonts w:cs="Times New Roman"/>
          <w:color w:val="000000"/>
        </w:rPr>
        <w:t>深入实施“阳光”体育、“点亮”美育工程，全区中小学生体能素质位居全市第二，新增省市级以上足球特色学校9所，入选浙江省义务教育阶段作业改革实验区、浙江省小学生综合评价改革试点区、“人工智能+教育”试点区。学前教育优质园覆盖率居全市第一，全省领先；成功通过国家学前教育普及普惠区省级评估。杭州第二中学余杭学校、杭州学军中学余杭学校揭牌运转。实施“教育高质量发展三优行动”，完善名优教师培育体系。</w:t>
      </w:r>
    </w:p>
    <w:p w14:paraId="611289E2">
      <w:pPr>
        <w:adjustRightInd w:val="0"/>
        <w:snapToGrid w:val="0"/>
        <w:spacing w:beforeLines="0" w:afterLines="0" w:line="570" w:lineRule="exact"/>
        <w:ind w:firstLine="643"/>
        <w:jc w:val="left"/>
        <w:outlineLvl w:val="2"/>
        <w:rPr>
          <w:rFonts w:cs="Times New Roman"/>
          <w:color w:val="000000"/>
        </w:rPr>
      </w:pPr>
      <w:bookmarkStart w:id="215" w:name="_Toc12849"/>
      <w:bookmarkStart w:id="216" w:name="_Toc2537"/>
      <w:r>
        <w:rPr>
          <w:rFonts w:cs="Times New Roman"/>
          <w:b/>
          <w:bCs/>
          <w:color w:val="000000"/>
          <w:szCs w:val="32"/>
        </w:rPr>
        <w:t>3</w:t>
      </w:r>
      <w:r>
        <w:rPr>
          <w:rFonts w:hint="eastAsia" w:cs="Times New Roman"/>
          <w:b/>
          <w:bCs/>
          <w:color w:val="000000"/>
          <w:szCs w:val="32"/>
        </w:rPr>
        <w:t>.</w:t>
      </w:r>
      <w:r>
        <w:rPr>
          <w:rFonts w:cs="Times New Roman"/>
          <w:b/>
          <w:bCs/>
          <w:color w:val="000000"/>
          <w:szCs w:val="32"/>
        </w:rPr>
        <w:t>健康余杭建设取得新成效</w:t>
      </w:r>
      <w:bookmarkEnd w:id="215"/>
      <w:bookmarkEnd w:id="216"/>
      <w:r>
        <w:rPr>
          <w:rFonts w:cs="Times New Roman"/>
          <w:b/>
          <w:bCs/>
          <w:color w:val="000000"/>
          <w:szCs w:val="32"/>
        </w:rPr>
        <w:t>。</w:t>
      </w:r>
      <w:r>
        <w:rPr>
          <w:rFonts w:cs="Times New Roman"/>
          <w:b w:val="0"/>
          <w:color w:val="000000"/>
        </w:rPr>
        <w:t>健全</w:t>
      </w:r>
      <w:r>
        <w:rPr>
          <w:rFonts w:cs="Times New Roman"/>
          <w:color w:val="000000"/>
        </w:rPr>
        <w:t>区-镇街-村社三级公共卫生应急网络，实现全区镇街公共卫生应急专管员和村社公共卫生应急联络员队伍覆盖。</w:t>
      </w:r>
      <w:r>
        <w:rPr>
          <w:rFonts w:hint="eastAsia" w:cs="Times New Roman"/>
          <w:color w:val="000000"/>
        </w:rPr>
        <w:t>余杭区第一人民医院（浙大一院良渚分院）正式启用</w:t>
      </w:r>
      <w:r>
        <w:rPr>
          <w:rFonts w:cs="Times New Roman"/>
          <w:color w:val="000000"/>
        </w:rPr>
        <w:t>。与浙大一院、浙大妇院、浙大儿院等医院以挂牌、建立分院等合作形式签订医疗合作共建协议。全区浙江省健康促进学校、医院创建覆盖率100%，国家卫生乡镇中开展健康乡镇创建比例100%，省级健康村创建覆盖率100%。</w:t>
      </w:r>
    </w:p>
    <w:p w14:paraId="3F942081">
      <w:pPr>
        <w:adjustRightInd w:val="0"/>
        <w:snapToGrid w:val="0"/>
        <w:spacing w:beforeLines="0" w:afterLines="0" w:line="570" w:lineRule="exact"/>
        <w:ind w:firstLine="643"/>
        <w:jc w:val="left"/>
        <w:outlineLvl w:val="2"/>
        <w:rPr>
          <w:rFonts w:cs="Times New Roman"/>
          <w:color w:val="000000"/>
        </w:rPr>
      </w:pPr>
      <w:bookmarkStart w:id="217" w:name="_Toc241"/>
      <w:bookmarkStart w:id="218" w:name="_Toc18041"/>
      <w:r>
        <w:rPr>
          <w:rFonts w:cs="Times New Roman"/>
          <w:b/>
          <w:bCs/>
          <w:color w:val="000000"/>
          <w:szCs w:val="32"/>
        </w:rPr>
        <w:t>4</w:t>
      </w:r>
      <w:r>
        <w:rPr>
          <w:rFonts w:hint="eastAsia" w:cs="Times New Roman"/>
          <w:b/>
          <w:bCs/>
          <w:color w:val="000000"/>
          <w:szCs w:val="32"/>
        </w:rPr>
        <w:t>.</w:t>
      </w:r>
      <w:r>
        <w:rPr>
          <w:rFonts w:cs="Times New Roman"/>
          <w:b/>
          <w:bCs/>
          <w:color w:val="000000"/>
          <w:szCs w:val="32"/>
        </w:rPr>
        <w:t>社会保障体系实现新提升</w:t>
      </w:r>
      <w:bookmarkEnd w:id="217"/>
      <w:bookmarkEnd w:id="218"/>
      <w:r>
        <w:rPr>
          <w:rFonts w:cs="Times New Roman"/>
          <w:b/>
          <w:bCs/>
          <w:color w:val="000000"/>
          <w:szCs w:val="32"/>
        </w:rPr>
        <w:t>。</w:t>
      </w:r>
      <w:r>
        <w:rPr>
          <w:rFonts w:cs="Times New Roman"/>
          <w:bCs/>
          <w:color w:val="000000"/>
        </w:rPr>
        <w:t>积极推进保障性租赁住房筹建工作，累计开工（含转化）共有产权保障住房项目5个。</w:t>
      </w:r>
      <w:r>
        <w:rPr>
          <w:rFonts w:cs="Times New Roman"/>
          <w:color w:val="000000"/>
        </w:rPr>
        <w:t>2022年以来全区建成重要公共场所无障碍改造点位29处。依托省大救助信息系统，打造线上+线下智慧助联体，三级助联体服务站点实现区、镇街、村社全覆盖。2023年，建设完成余杭区智慧公益慈善综合体，被省民政厅列入共同富裕专项改革试点。全区共有全区公益性社区基金会12个，实现了镇街社区基金会全覆盖。</w:t>
      </w:r>
    </w:p>
    <w:p w14:paraId="4A2AE052">
      <w:pPr>
        <w:spacing w:beforeLines="0" w:afterLines="0" w:line="570" w:lineRule="exact"/>
        <w:ind w:firstLine="643"/>
        <w:jc w:val="left"/>
        <w:outlineLvl w:val="2"/>
        <w:rPr>
          <w:rFonts w:ascii="Times New Roman" w:eastAsia="仿宋_GB2312" w:cs="Times New Roman"/>
          <w:color w:val="000000"/>
          <w:sz w:val="32"/>
          <w:szCs w:val="32"/>
        </w:rPr>
      </w:pPr>
      <w:bookmarkStart w:id="219" w:name="_Toc14553"/>
      <w:bookmarkStart w:id="220" w:name="_Toc24319"/>
      <w:r>
        <w:rPr>
          <w:rFonts w:cs="Times New Roman"/>
          <w:b/>
          <w:bCs/>
          <w:color w:val="000000"/>
          <w:szCs w:val="32"/>
        </w:rPr>
        <w:t>5</w:t>
      </w:r>
      <w:r>
        <w:rPr>
          <w:rFonts w:hint="eastAsia" w:cs="Times New Roman"/>
          <w:b/>
          <w:bCs/>
          <w:color w:val="000000"/>
          <w:szCs w:val="32"/>
        </w:rPr>
        <w:t>.</w:t>
      </w:r>
      <w:r>
        <w:rPr>
          <w:rFonts w:cs="Times New Roman"/>
          <w:b/>
          <w:bCs/>
          <w:color w:val="000000"/>
          <w:szCs w:val="32"/>
        </w:rPr>
        <w:t>高质量就业增收取得新进展</w:t>
      </w:r>
      <w:bookmarkEnd w:id="219"/>
      <w:bookmarkEnd w:id="220"/>
      <w:r>
        <w:rPr>
          <w:rFonts w:cs="Times New Roman"/>
          <w:b/>
          <w:bCs/>
          <w:color w:val="000000"/>
          <w:szCs w:val="32"/>
        </w:rPr>
        <w:t>。</w:t>
      </w:r>
      <w:r>
        <w:rPr>
          <w:rFonts w:ascii="Times New Roman" w:eastAsia="仿宋_GB2312" w:cs="Times New Roman"/>
          <w:color w:val="000000"/>
          <w:sz w:val="32"/>
          <w:szCs w:val="32"/>
        </w:rPr>
        <w:t>推进稳就业惠民生攻坚行动，广泛开展“春风行动”、东西部劳务协作、山海协作、省际劳务协作、“相约余杭·一职为你”校园招聘等系列活动。建成全省首个线下灵活就业服务中心，详细制定零工市场建设规范文件，细化高质量就业建设和重点群体就业创业帮扶工作方案，全域配置线下零工市场精准服务区</w:t>
      </w:r>
      <w:r>
        <w:rPr>
          <w:rFonts w:ascii="Times New Roman" w:eastAsia="仿宋_GB2312" w:cs="Times New Roman"/>
          <w:bCs/>
          <w:color w:val="000000"/>
          <w:sz w:val="32"/>
          <w:szCs w:val="32"/>
        </w:rPr>
        <w:t>，</w:t>
      </w:r>
      <w:r>
        <w:rPr>
          <w:rFonts w:ascii="Times New Roman" w:eastAsia="仿宋_GB2312" w:cs="Times New Roman"/>
          <w:color w:val="000000"/>
          <w:sz w:val="32"/>
          <w:szCs w:val="32"/>
        </w:rPr>
        <w:t>全省首创“骑手保”补充购置模式，“灵活就业数据治理”获2023年全省人社领域创新深化改革攻坚开放提升项目试点。</w:t>
      </w:r>
    </w:p>
    <w:p w14:paraId="6BCA1AF6">
      <w:pPr>
        <w:adjustRightInd w:val="0"/>
        <w:snapToGrid w:val="0"/>
        <w:spacing w:beforeLines="0" w:afterLines="0" w:line="570" w:lineRule="exact"/>
        <w:ind w:firstLine="643"/>
        <w:jc w:val="left"/>
        <w:outlineLvl w:val="2"/>
        <w:rPr>
          <w:rFonts w:cs="Times New Roman"/>
          <w:color w:val="000000"/>
        </w:rPr>
      </w:pPr>
      <w:bookmarkStart w:id="221" w:name="_Toc16920"/>
      <w:bookmarkStart w:id="222" w:name="_Toc5374"/>
      <w:r>
        <w:rPr>
          <w:rFonts w:cs="Times New Roman"/>
          <w:b/>
          <w:bCs/>
          <w:color w:val="000000"/>
          <w:szCs w:val="32"/>
        </w:rPr>
        <w:t>6</w:t>
      </w:r>
      <w:r>
        <w:rPr>
          <w:rFonts w:hint="eastAsia" w:cs="Times New Roman"/>
          <w:b/>
          <w:bCs/>
          <w:color w:val="000000"/>
          <w:szCs w:val="32"/>
        </w:rPr>
        <w:t>.</w:t>
      </w:r>
      <w:r>
        <w:rPr>
          <w:rFonts w:cs="Times New Roman"/>
          <w:b/>
          <w:bCs/>
          <w:color w:val="000000"/>
          <w:szCs w:val="32"/>
        </w:rPr>
        <w:t>平安法治余杭迈上新台阶</w:t>
      </w:r>
      <w:bookmarkEnd w:id="221"/>
      <w:bookmarkEnd w:id="222"/>
      <w:r>
        <w:rPr>
          <w:rFonts w:cs="Times New Roman"/>
          <w:b/>
          <w:bCs/>
          <w:color w:val="000000"/>
          <w:szCs w:val="32"/>
        </w:rPr>
        <w:t>。</w:t>
      </w:r>
      <w:r>
        <w:rPr>
          <w:rFonts w:cs="Times New Roman"/>
          <w:color w:val="000000"/>
        </w:rPr>
        <w:t>以小古城村为试点，积极探索党建统领基层民主协商“四议六步”工作法，</w:t>
      </w:r>
      <w:r>
        <w:rPr>
          <w:rFonts w:cs="Times New Roman"/>
          <w:bCs/>
          <w:color w:val="000000"/>
        </w:rPr>
        <w:t>入选全国社会治理创新案例</w:t>
      </w:r>
      <w:r>
        <w:rPr>
          <w:rFonts w:cs="Times New Roman"/>
          <w:color w:val="000000"/>
        </w:rPr>
        <w:t>。</w:t>
      </w:r>
      <w:r>
        <w:rPr>
          <w:rFonts w:cs="Times New Roman"/>
          <w:bCs/>
          <w:color w:val="000000"/>
        </w:rPr>
        <w:t>2022年成为全省唯一的全国“新时代政法楷模集体”，平安考核连续五年进入全省前十。</w:t>
      </w:r>
      <w:r>
        <w:rPr>
          <w:rFonts w:cs="Times New Roman"/>
          <w:color w:val="000000"/>
        </w:rPr>
        <w:t>深化法治余杭建设，推进镇街法治化综合改革，连续三年获评法治浙江（法治政府）建设优秀（先进）单位，2021年获评首批法治浙江（法治政府）建设示范县（市、区）。基本建成社会大普法格局，深入推进公民法治素养提升工程，创建小古城村、径山村、良渚文化村社区等3家全国民主法治示范村（社）。</w:t>
      </w:r>
    </w:p>
    <w:p w14:paraId="49E3CBA0">
      <w:pPr>
        <w:pStyle w:val="2"/>
        <w:adjustRightInd w:val="0"/>
        <w:snapToGrid w:val="0"/>
        <w:spacing w:beforeLines="0" w:afterLines="0" w:line="570" w:lineRule="exact"/>
        <w:ind w:firstLine="640"/>
        <w:jc w:val="left"/>
        <w:rPr>
          <w:rFonts w:cs="Times New Roman"/>
          <w:color w:val="000000"/>
        </w:rPr>
      </w:pPr>
      <w:bookmarkStart w:id="223" w:name="_Toc15315"/>
      <w:bookmarkStart w:id="224" w:name="_Toc31527"/>
      <w:bookmarkStart w:id="225" w:name="_Toc30230"/>
      <w:bookmarkStart w:id="226" w:name="_Toc27183"/>
      <w:bookmarkStart w:id="227" w:name="_Toc24563"/>
      <w:bookmarkStart w:id="228" w:name="_Toc13754"/>
      <w:bookmarkStart w:id="229" w:name="_Toc23751"/>
      <w:bookmarkStart w:id="230" w:name="_Toc14113"/>
      <w:bookmarkStart w:id="231" w:name="_Toc1618"/>
      <w:bookmarkStart w:id="232" w:name="_Toc25355"/>
      <w:bookmarkStart w:id="233" w:name="_Toc144819662"/>
      <w:bookmarkStart w:id="234" w:name="_Toc20208"/>
      <w:bookmarkStart w:id="235" w:name="_Toc1475"/>
      <w:bookmarkStart w:id="236" w:name="_Toc30140"/>
      <w:r>
        <w:rPr>
          <w:rFonts w:hint="eastAsia" w:ascii="黑体" w:hAnsi="黑体" w:cs="黑体"/>
          <w:color w:val="000000"/>
        </w:rPr>
        <w:t>三</w:t>
      </w:r>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Start w:id="237" w:name="_Toc19625"/>
      <w:bookmarkStart w:id="238" w:name="_Toc13340"/>
      <w:bookmarkStart w:id="239" w:name="_Toc11043"/>
      <w:bookmarkStart w:id="240" w:name="_Toc9941"/>
      <w:bookmarkStart w:id="241" w:name="_Toc14551"/>
      <w:bookmarkStart w:id="242" w:name="_Toc21743"/>
      <w:bookmarkStart w:id="243" w:name="_Toc22453"/>
      <w:bookmarkStart w:id="244" w:name="_Toc144819665"/>
      <w:bookmarkStart w:id="245" w:name="_Toc4205"/>
      <w:bookmarkStart w:id="246" w:name="_Toc4125"/>
      <w:bookmarkStart w:id="247" w:name="_Toc29863"/>
      <w:bookmarkStart w:id="248" w:name="_Toc2576"/>
      <w:bookmarkStart w:id="249" w:name="_Toc13613"/>
      <w:bookmarkStart w:id="250" w:name="_Toc15372"/>
      <w:r>
        <w:rPr>
          <w:rFonts w:hint="eastAsia" w:cs="Times New Roman"/>
          <w:color w:val="000000"/>
        </w:rPr>
        <w:t>、</w:t>
      </w:r>
      <w:r>
        <w:rPr>
          <w:rFonts w:cs="Times New Roman"/>
          <w:color w:val="000000"/>
        </w:rPr>
        <w:t>进一步推进《纲要》实施的</w:t>
      </w:r>
      <w:r>
        <w:rPr>
          <w:rFonts w:hint="eastAsia" w:cs="Times New Roman"/>
          <w:color w:val="000000"/>
        </w:rPr>
        <w:t>对策</w:t>
      </w:r>
      <w:r>
        <w:rPr>
          <w:rFonts w:cs="Times New Roman"/>
          <w:color w:val="000000"/>
        </w:rPr>
        <w:t>举措</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1D899678">
      <w:pPr>
        <w:wordWrap/>
        <w:adjustRightInd w:val="0"/>
        <w:snapToGrid w:val="0"/>
        <w:spacing w:beforeLines="0" w:afterLines="0" w:line="570" w:lineRule="exact"/>
        <w:ind w:left="0" w:leftChars="0" w:right="0" w:firstLine="640" w:firstLineChars="200"/>
        <w:jc w:val="left"/>
        <w:textAlignment w:val="auto"/>
        <w:rPr>
          <w:rFonts w:cs="Times New Roman"/>
          <w:color w:val="000000"/>
          <w:szCs w:val="32"/>
          <w:lang w:val="zh-CN"/>
        </w:rPr>
      </w:pPr>
      <w:r>
        <w:rPr>
          <w:rFonts w:cs="Times New Roman"/>
          <w:color w:val="000000"/>
        </w:rPr>
        <w:t>党的二十大描绘了全面建设社会主义现代化国家、全面推进中华民族伟大复兴的宏伟蓝图。余杭</w:t>
      </w:r>
      <w:r>
        <w:rPr>
          <w:rFonts w:hint="eastAsia" w:cs="Times New Roman"/>
          <w:color w:val="000000"/>
          <w:lang w:val="en-US" w:eastAsia="zh-CN"/>
        </w:rPr>
        <w:t>要深入学习贯彻总书记的重要讲话和重要指示批示精神，特别是在浙江考察时的重要讲话，</w:t>
      </w:r>
      <w:r>
        <w:rPr>
          <w:rFonts w:cs="Times New Roman"/>
          <w:color w:val="000000"/>
          <w:szCs w:val="32"/>
        </w:rPr>
        <w:t>坚定不移沿着“八八战略”指引的路子前进，完整、正确、全面贯彻新发展理念，主动服务和融入新发展格局，</w:t>
      </w:r>
      <w:r>
        <w:rPr>
          <w:rFonts w:cs="Times New Roman"/>
          <w:color w:val="000000"/>
        </w:rPr>
        <w:t>围绕三个“一号工程”“</w:t>
      </w:r>
      <w:r>
        <w:rPr>
          <w:rFonts w:cs="Times New Roman"/>
          <w:color w:val="000000"/>
          <w:szCs w:val="32"/>
        </w:rPr>
        <w:t>十项重大工程”和打好“两场硬仗”，谋划实施重大举措，为杭州扎实推进“奋进新时代、建设新天堂”系列变革性实践，奋力打造世界一流的社会主义现代化国际大都市做出更大贡献。</w:t>
      </w:r>
    </w:p>
    <w:p w14:paraId="24135613">
      <w:pPr>
        <w:wordWrap/>
        <w:adjustRightInd w:val="0"/>
        <w:snapToGrid w:val="0"/>
        <w:spacing w:beforeLines="0" w:afterLines="0" w:line="570" w:lineRule="exact"/>
        <w:ind w:left="0" w:leftChars="0" w:right="0" w:firstLine="640" w:firstLineChars="200"/>
        <w:jc w:val="left"/>
        <w:textAlignment w:val="auto"/>
        <w:outlineLvl w:val="1"/>
        <w:rPr>
          <w:rFonts w:eastAsia="楷体_GB2312" w:cs="Times New Roman"/>
          <w:bCs/>
          <w:color w:val="000000"/>
          <w:szCs w:val="32"/>
        </w:rPr>
      </w:pPr>
      <w:bookmarkStart w:id="251" w:name="_Toc6110"/>
      <w:bookmarkStart w:id="252" w:name="_Toc23086"/>
      <w:bookmarkStart w:id="253" w:name="_Toc11723"/>
      <w:bookmarkStart w:id="254" w:name="_Toc26102"/>
      <w:bookmarkStart w:id="255" w:name="_Toc144819666"/>
      <w:bookmarkStart w:id="256" w:name="_Toc21601"/>
      <w:bookmarkStart w:id="257" w:name="_Toc27386"/>
      <w:bookmarkStart w:id="258" w:name="_Toc28082"/>
      <w:bookmarkStart w:id="259" w:name="_Toc15423"/>
      <w:bookmarkStart w:id="260" w:name="_Toc4807"/>
      <w:bookmarkStart w:id="261" w:name="_Toc1179"/>
      <w:bookmarkStart w:id="262" w:name="_Toc5890"/>
      <w:bookmarkStart w:id="263" w:name="_Toc14941"/>
      <w:bookmarkStart w:id="264" w:name="_Toc19433"/>
      <w:r>
        <w:rPr>
          <w:rFonts w:hint="eastAsia" w:eastAsia="楷体_GB2312" w:cs="Times New Roman"/>
          <w:bCs/>
          <w:color w:val="000000"/>
          <w:szCs w:val="32"/>
        </w:rPr>
        <w:t>（一）全力建设</w:t>
      </w:r>
      <w:r>
        <w:rPr>
          <w:rFonts w:eastAsia="楷体_GB2312" w:cs="Times New Roman"/>
          <w:bCs/>
          <w:color w:val="000000"/>
          <w:szCs w:val="32"/>
        </w:rPr>
        <w:t>杭州城市重要新中心</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p>
    <w:p w14:paraId="77A97A5F">
      <w:pPr>
        <w:wordWrap/>
        <w:adjustRightInd w:val="0"/>
        <w:snapToGrid w:val="0"/>
        <w:spacing w:beforeLines="0" w:afterLines="0" w:line="570" w:lineRule="exact"/>
        <w:ind w:left="0" w:leftChars="0" w:right="0" w:firstLine="640" w:firstLineChars="200"/>
        <w:jc w:val="left"/>
        <w:textAlignment w:val="auto"/>
        <w:rPr>
          <w:rStyle w:val="48"/>
          <w:rFonts w:ascii="Times New Roman"/>
          <w:color w:val="000000"/>
          <w:szCs w:val="36"/>
        </w:rPr>
      </w:pPr>
      <w:r>
        <w:rPr>
          <w:rFonts w:cs="Times New Roman"/>
          <w:color w:val="000000"/>
        </w:rPr>
        <w:t>始终牢记习近平总书记“续写创新史”的殷殷嘱托，坚持以创新深化、改革攻坚、开放提升为基本路径，积极融入省市重大战略，加压奋进、争先进位。</w:t>
      </w:r>
      <w:r>
        <w:rPr>
          <w:rFonts w:cs="Times New Roman"/>
          <w:b/>
          <w:bCs/>
          <w:color w:val="000000"/>
        </w:rPr>
        <w:t>一是聚焦高质量发展核心环节，</w:t>
      </w:r>
      <w:r>
        <w:rPr>
          <w:rFonts w:hint="eastAsia" w:cs="Times New Roman"/>
          <w:b/>
          <w:bCs/>
          <w:color w:val="000000"/>
        </w:rPr>
        <w:t>全力以赴</w:t>
      </w:r>
      <w:r>
        <w:rPr>
          <w:rFonts w:cs="Times New Roman"/>
          <w:b/>
          <w:bCs/>
          <w:color w:val="000000"/>
        </w:rPr>
        <w:t>打造杭州城市重要新中心</w:t>
      </w:r>
      <w:r>
        <w:rPr>
          <w:rFonts w:cs="Times New Roman"/>
          <w:color w:val="000000"/>
        </w:rPr>
        <w:t>。聚焦创新驱动发展、数实深度融合、城市品质提升、公共服务保障等核心环节，</w:t>
      </w:r>
      <w:r>
        <w:rPr>
          <w:rFonts w:hint="eastAsia" w:cs="Times New Roman"/>
          <w:color w:val="000000"/>
        </w:rPr>
        <w:t>深化</w:t>
      </w:r>
      <w:r>
        <w:rPr>
          <w:rStyle w:val="48"/>
          <w:rFonts w:ascii="Times New Roman"/>
          <w:color w:val="000000"/>
        </w:rPr>
        <w:t>迭代建设科技创新策源地的重要新中心、数实融合创新发展的重要新中心、最具幸福感城市的重要新中心</w:t>
      </w:r>
      <w:r>
        <w:rPr>
          <w:rFonts w:cs="Times New Roman"/>
          <w:color w:val="000000"/>
          <w:szCs w:val="32"/>
        </w:rPr>
        <w:t>。</w:t>
      </w:r>
      <w:r>
        <w:rPr>
          <w:rStyle w:val="48"/>
          <w:rFonts w:ascii="Times New Roman"/>
          <w:color w:val="000000"/>
        </w:rPr>
        <w:t>优化发展“</w:t>
      </w:r>
      <w:r>
        <w:rPr>
          <w:rFonts w:hint="eastAsia" w:cs="Times New Roman"/>
          <w:bCs/>
          <w:color w:val="000000"/>
        </w:rPr>
        <w:t>两廊一轴</w:t>
      </w:r>
      <w:r>
        <w:rPr>
          <w:rStyle w:val="48"/>
          <w:rFonts w:ascii="Times New Roman"/>
          <w:color w:val="000000"/>
        </w:rPr>
        <w:t>”空间新格局，</w:t>
      </w:r>
      <w:r>
        <w:rPr>
          <w:rFonts w:cs="Times New Roman"/>
          <w:color w:val="000000"/>
          <w:szCs w:val="32"/>
        </w:rPr>
        <w:t>加大重点区块支持力度，</w:t>
      </w:r>
      <w:r>
        <w:rPr>
          <w:rStyle w:val="48"/>
          <w:rFonts w:ascii="Times New Roman"/>
          <w:color w:val="000000"/>
        </w:rPr>
        <w:t>将深化推进“十大工程”作为建设重要新中心的战略抓手和关键招数，打造创新策源、产业强区、文化兴盛、一流城区、共富示范、大区善治六大标志性成果。</w:t>
      </w:r>
      <w:r>
        <w:rPr>
          <w:rFonts w:cs="Times New Roman"/>
          <w:b/>
          <w:bCs/>
          <w:color w:val="000000"/>
        </w:rPr>
        <w:t>二是积极承载全市重要战略，推动杭州城市重要新中心进一步彰显。</w:t>
      </w:r>
      <w:r>
        <w:rPr>
          <w:rFonts w:cs="Times New Roman"/>
          <w:color w:val="000000"/>
        </w:rPr>
        <w:t>将余杭放到更高的坐标系中谋划推进，以数据要素市场化配置改革、优化科创金融服务为抓手，谱写中国式现代化建设新篇章。</w:t>
      </w:r>
      <w:r>
        <w:rPr>
          <w:rFonts w:cs="Times New Roman"/>
          <w:b/>
          <w:bCs/>
          <w:color w:val="000000"/>
        </w:rPr>
        <w:t>一方面争创国家数据要素综合试验区核心区。</w:t>
      </w:r>
      <w:r>
        <w:rPr>
          <w:rFonts w:cs="Times New Roman"/>
          <w:color w:val="000000"/>
        </w:rPr>
        <w:t>以打造“全球数商中心”为目标，依托“区块链+数字资源跨域共享”国家试点项目，着力发展云计算、数据安全、可信隐私计算、数据中台、商业智能、企业数字管理等产业方向，加速完善大数据隐私计算平台，加快培育数据智能与安全服务产业生态，强化基地、基金、人才组织、政策等支撑体系。</w:t>
      </w:r>
      <w:r>
        <w:rPr>
          <w:rFonts w:cs="Times New Roman"/>
          <w:b/>
          <w:bCs/>
          <w:color w:val="000000"/>
        </w:rPr>
        <w:t>另一方面</w:t>
      </w:r>
      <w:r>
        <w:rPr>
          <w:rFonts w:cs="Times New Roman"/>
          <w:b/>
          <w:bCs/>
          <w:color w:val="000000"/>
          <w:szCs w:val="36"/>
        </w:rPr>
        <w:t>争创科创金融改革试验区核心区</w:t>
      </w:r>
      <w:r>
        <w:rPr>
          <w:rFonts w:cs="Times New Roman"/>
          <w:color w:val="000000"/>
          <w:szCs w:val="36"/>
        </w:rPr>
        <w:t>。依托余杭全省首单知识产权证券化产品发行，加快建立广渠道、多层次、可持续、覆盖科创企业全生命周期的科创金融服务体系，通过健全科创金融组织体系、优化科创信贷产品供给、推动科创保险业务创新、提升供应链金融服务效能等举措，打造现代金融创新高地，助力杭州建设科创金融改革试验区。</w:t>
      </w:r>
    </w:p>
    <w:p w14:paraId="197BD42C">
      <w:pPr>
        <w:pStyle w:val="3"/>
        <w:wordWrap/>
        <w:adjustRightInd w:val="0"/>
        <w:snapToGrid w:val="0"/>
        <w:spacing w:beforeLines="0" w:afterLines="0" w:line="570" w:lineRule="exact"/>
        <w:ind w:left="0" w:leftChars="0" w:right="0" w:firstLine="640" w:firstLineChars="200"/>
        <w:jc w:val="left"/>
        <w:textAlignment w:val="auto"/>
        <w:rPr>
          <w:rFonts w:cs="Times New Roman"/>
          <w:color w:val="000000"/>
        </w:rPr>
      </w:pPr>
      <w:bookmarkStart w:id="265" w:name="_Toc18030"/>
      <w:bookmarkStart w:id="266" w:name="_Toc2755"/>
      <w:bookmarkStart w:id="267" w:name="_Toc13237"/>
      <w:bookmarkStart w:id="268" w:name="_Toc4500"/>
      <w:bookmarkStart w:id="269" w:name="_Toc8026"/>
      <w:bookmarkStart w:id="270" w:name="_Toc29841"/>
      <w:bookmarkStart w:id="271" w:name="_Toc1792"/>
      <w:bookmarkStart w:id="272" w:name="_Toc5982"/>
      <w:bookmarkStart w:id="273" w:name="_Toc15955"/>
      <w:bookmarkStart w:id="274" w:name="_Toc31811"/>
      <w:bookmarkStart w:id="275" w:name="_Toc3292"/>
      <w:bookmarkStart w:id="276" w:name="_Toc144819667"/>
      <w:bookmarkStart w:id="277" w:name="_Toc6602"/>
      <w:bookmarkStart w:id="278" w:name="_Toc22441"/>
      <w:r>
        <w:rPr>
          <w:rFonts w:hint="eastAsia" w:cs="Times New Roman"/>
          <w:color w:val="000000"/>
        </w:rPr>
        <w:t>（二）聚力</w:t>
      </w:r>
      <w:r>
        <w:rPr>
          <w:rFonts w:cs="Times New Roman"/>
          <w:color w:val="000000"/>
        </w:rPr>
        <w:t>争创综合性国家科学中心核心承载区</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p>
    <w:p w14:paraId="52868D2C">
      <w:pPr>
        <w:wordWrap/>
        <w:adjustRightInd w:val="0"/>
        <w:snapToGrid w:val="0"/>
        <w:spacing w:beforeLines="0" w:afterLines="0" w:line="570" w:lineRule="exact"/>
        <w:ind w:left="0" w:leftChars="0" w:right="0" w:firstLine="640" w:firstLineChars="200"/>
        <w:jc w:val="left"/>
        <w:textAlignment w:val="auto"/>
        <w:rPr>
          <w:rFonts w:cs="Times New Roman"/>
          <w:color w:val="000000"/>
        </w:rPr>
      </w:pPr>
      <w:r>
        <w:rPr>
          <w:rFonts w:hint="eastAsia" w:cs="Times New Roman"/>
          <w:color w:val="000000"/>
        </w:rPr>
        <w:t>在以科技创新塑造发展新优势上走在前列</w:t>
      </w:r>
      <w:r>
        <w:rPr>
          <w:rFonts w:hint="eastAsia" w:cs="Times New Roman"/>
          <w:color w:val="000000"/>
          <w:lang w:eastAsia="zh-CN"/>
        </w:rPr>
        <w:t>，坚持“人才引领、创新驱动”不动摇，深入实施“创新策源工程”，</w:t>
      </w:r>
      <w:r>
        <w:rPr>
          <w:rFonts w:hint="eastAsia" w:cs="Times New Roman"/>
          <w:color w:val="000000"/>
          <w:lang w:val="en-US" w:eastAsia="zh-CN"/>
        </w:rPr>
        <w:t>加快打造全球创新策源地、创新人才蓄水池、科技成果转化首选地</w:t>
      </w:r>
      <w:r>
        <w:rPr>
          <w:rFonts w:cs="Times New Roman"/>
          <w:color w:val="000000"/>
        </w:rPr>
        <w:t>，争创综合性国家科学中心核心承载区。</w:t>
      </w:r>
      <w:r>
        <w:rPr>
          <w:rFonts w:cs="Times New Roman"/>
          <w:b/>
          <w:bCs/>
          <w:color w:val="000000"/>
        </w:rPr>
        <w:t>一是加快构建科技创新体系，打造全球创新策源地。</w:t>
      </w:r>
      <w:r>
        <w:rPr>
          <w:rFonts w:hint="eastAsia" w:cs="Times New Roman"/>
          <w:color w:val="000000"/>
          <w:szCs w:val="32"/>
        </w:rPr>
        <w:t>推进之江实验室成为国家实验室的重要支撑，</w:t>
      </w:r>
      <w:r>
        <w:rPr>
          <w:rFonts w:hint="default" w:cs="Times New Roman"/>
          <w:color w:val="000000"/>
          <w:szCs w:val="32"/>
        </w:rPr>
        <w:t>加快</w:t>
      </w:r>
      <w:r>
        <w:rPr>
          <w:rFonts w:hint="eastAsia" w:cs="Times New Roman"/>
          <w:color w:val="000000"/>
          <w:szCs w:val="32"/>
        </w:rPr>
        <w:t>湖畔实验室建成投用，推动浙大余杭脑机交叉研究院创建临港国家实验室浙江基地，打造国家实验室基地群，有力提升余杭创新发展能级。</w:t>
      </w:r>
      <w:r>
        <w:rPr>
          <w:rFonts w:cs="Times New Roman"/>
          <w:color w:val="000000"/>
        </w:rPr>
        <w:t>聚焦</w:t>
      </w:r>
      <w:r>
        <w:rPr>
          <w:rFonts w:cs="Times New Roman"/>
          <w:color w:val="000000"/>
          <w:szCs w:val="32"/>
        </w:rPr>
        <w:t>人工智能、生命健康、新材料等多学科交叉前沿研究平台，</w:t>
      </w:r>
      <w:r>
        <w:rPr>
          <w:rFonts w:cs="Times New Roman"/>
          <w:color w:val="000000"/>
        </w:rPr>
        <w:t>大力引培高端研发机构</w:t>
      </w:r>
      <w:r>
        <w:rPr>
          <w:rFonts w:hint="eastAsia" w:cs="Times New Roman"/>
          <w:color w:val="000000"/>
        </w:rPr>
        <w:t>和孵化器</w:t>
      </w:r>
      <w:r>
        <w:rPr>
          <w:rFonts w:cs="Times New Roman"/>
          <w:color w:val="000000"/>
        </w:rPr>
        <w:t>，</w:t>
      </w:r>
      <w:r>
        <w:rPr>
          <w:rFonts w:cs="Times New Roman"/>
          <w:color w:val="000000"/>
          <w:szCs w:val="32"/>
        </w:rPr>
        <w:t>加速全球高端科研资源集聚</w:t>
      </w:r>
      <w:r>
        <w:rPr>
          <w:rFonts w:cs="Times New Roman"/>
          <w:color w:val="000000"/>
        </w:rPr>
        <w:t>。</w:t>
      </w:r>
      <w:r>
        <w:rPr>
          <w:rFonts w:hint="eastAsia" w:cs="Times New Roman"/>
          <w:b/>
          <w:bCs/>
          <w:color w:val="000000"/>
          <w:lang w:val="en-US" w:eastAsia="zh-CN"/>
        </w:rPr>
        <w:t>二</w:t>
      </w:r>
      <w:r>
        <w:rPr>
          <w:rFonts w:cs="Times New Roman"/>
          <w:b/>
          <w:bCs/>
          <w:color w:val="000000"/>
        </w:rPr>
        <w:t>是持续优化“热带雨林”式人才生态，打造创新人才蓄水池。</w:t>
      </w:r>
      <w:r>
        <w:rPr>
          <w:rFonts w:cs="Times New Roman"/>
          <w:color w:val="000000"/>
        </w:rPr>
        <w:t>聚焦顶尖人才、重点人才项目、重大人才平台等核心要素，</w:t>
      </w:r>
      <w:r>
        <w:rPr>
          <w:rFonts w:cs="Times New Roman"/>
          <w:color w:val="000000"/>
          <w:szCs w:val="32"/>
        </w:rPr>
        <w:t>建立完善校地合作创新机制，</w:t>
      </w:r>
      <w:r>
        <w:rPr>
          <w:rFonts w:cs="Times New Roman"/>
          <w:color w:val="000000"/>
        </w:rPr>
        <w:t>与浙江大学等高校</w:t>
      </w:r>
      <w:r>
        <w:rPr>
          <w:rFonts w:hint="eastAsia" w:cs="Times New Roman"/>
          <w:color w:val="000000"/>
        </w:rPr>
        <w:t>合作</w:t>
      </w:r>
      <w:r>
        <w:rPr>
          <w:rFonts w:cs="Times New Roman"/>
          <w:color w:val="000000"/>
        </w:rPr>
        <w:t>共建大学生实训基地、博士后工作站等平台，畅通“政校企”三方人才交流渠道，持续吸引海内外高精尖缺人才，集聚科技领军人才、青年科技人才和领军型创新创业团队。</w:t>
      </w:r>
      <w:r>
        <w:rPr>
          <w:rFonts w:hint="eastAsia" w:cs="Times New Roman"/>
          <w:b/>
          <w:bCs/>
          <w:color w:val="000000"/>
          <w:lang w:val="en-US" w:eastAsia="zh-CN"/>
        </w:rPr>
        <w:t>三</w:t>
      </w:r>
      <w:r>
        <w:rPr>
          <w:rFonts w:cs="Times New Roman"/>
          <w:b/>
          <w:bCs/>
          <w:color w:val="000000"/>
        </w:rPr>
        <w:t>是强化关键核心技术攻关，打造科技成果转化首选地</w:t>
      </w:r>
      <w:r>
        <w:rPr>
          <w:rFonts w:cs="Times New Roman"/>
          <w:color w:val="000000"/>
        </w:rPr>
        <w:t>。</w:t>
      </w:r>
      <w:r>
        <w:rPr>
          <w:rFonts w:hint="eastAsia" w:cs="Times New Roman"/>
          <w:color w:val="000000"/>
        </w:rPr>
        <w:t>深入实施科技成果转移转化“145”行动，</w:t>
      </w:r>
      <w:r>
        <w:rPr>
          <w:rFonts w:cs="Times New Roman"/>
          <w:color w:val="000000"/>
        </w:rPr>
        <w:t>招引知名律所等中介入驻，鼓励支持各类创新主体积极承担重大科研项目，</w:t>
      </w:r>
      <w:r>
        <w:rPr>
          <w:rFonts w:cs="Times New Roman"/>
          <w:color w:val="000000"/>
          <w:szCs w:val="32"/>
        </w:rPr>
        <w:t>强化企业主导的产学研深度融合</w:t>
      </w:r>
      <w:r>
        <w:rPr>
          <w:rFonts w:cs="Times New Roman"/>
          <w:color w:val="000000"/>
        </w:rPr>
        <w:t>，</w:t>
      </w:r>
      <w:r>
        <w:rPr>
          <w:rFonts w:hint="eastAsia" w:cs="Times New Roman"/>
          <w:color w:val="000000"/>
        </w:rPr>
        <w:t>促进</w:t>
      </w:r>
      <w:r>
        <w:rPr>
          <w:rFonts w:cs="Times New Roman"/>
          <w:color w:val="000000"/>
        </w:rPr>
        <w:t>形成一批关键共性技术、前沿引领技术、现代工程技术、颠覆性技术</w:t>
      </w:r>
      <w:r>
        <w:rPr>
          <w:rFonts w:hint="eastAsia" w:cs="Times New Roman"/>
          <w:color w:val="000000"/>
        </w:rPr>
        <w:t>等</w:t>
      </w:r>
      <w:r>
        <w:rPr>
          <w:rFonts w:cs="Times New Roman"/>
          <w:color w:val="000000"/>
        </w:rPr>
        <w:t>创新突破。健全成果转移转化机制，以“互联网+技术交易”为重点加快构建各类创新主体协同、线上线下结合的技术成果交易市场。</w:t>
      </w:r>
    </w:p>
    <w:p w14:paraId="6EF41B77">
      <w:pPr>
        <w:pStyle w:val="3"/>
        <w:wordWrap/>
        <w:adjustRightInd w:val="0"/>
        <w:snapToGrid w:val="0"/>
        <w:spacing w:beforeLines="0" w:afterLines="0" w:line="570" w:lineRule="exact"/>
        <w:ind w:left="0" w:leftChars="0" w:right="0" w:firstLine="640" w:firstLineChars="200"/>
        <w:jc w:val="left"/>
        <w:textAlignment w:val="auto"/>
        <w:rPr>
          <w:rFonts w:cs="Times New Roman"/>
          <w:color w:val="000000"/>
        </w:rPr>
      </w:pPr>
      <w:bookmarkStart w:id="279" w:name="_Toc28729"/>
      <w:bookmarkStart w:id="280" w:name="_Toc17042"/>
      <w:bookmarkStart w:id="281" w:name="_Toc3244"/>
      <w:bookmarkStart w:id="282" w:name="_Toc2127"/>
      <w:bookmarkStart w:id="283" w:name="_Toc12111"/>
      <w:bookmarkStart w:id="284" w:name="_Toc14870"/>
      <w:bookmarkStart w:id="285" w:name="_Toc25950"/>
      <w:bookmarkStart w:id="286" w:name="_Toc27783"/>
      <w:bookmarkStart w:id="287" w:name="_Toc144819668"/>
      <w:bookmarkStart w:id="288" w:name="_Toc13803"/>
      <w:bookmarkStart w:id="289" w:name="_Toc27261"/>
      <w:bookmarkStart w:id="290" w:name="_Toc13704"/>
      <w:bookmarkStart w:id="291" w:name="_Toc29287"/>
      <w:bookmarkStart w:id="292" w:name="_Toc10092"/>
      <w:r>
        <w:rPr>
          <w:rFonts w:hint="eastAsia" w:cs="Times New Roman"/>
          <w:color w:val="000000"/>
        </w:rPr>
        <w:t>（三）特色</w:t>
      </w:r>
      <w:r>
        <w:rPr>
          <w:rFonts w:hint="eastAsia" w:cs="Times New Roman"/>
          <w:color w:val="000000"/>
          <w:lang w:val="en-US" w:eastAsia="zh-CN"/>
        </w:rPr>
        <w:t>塑造</w:t>
      </w:r>
      <w:r>
        <w:rPr>
          <w:rFonts w:cs="Times New Roman"/>
          <w:color w:val="000000"/>
        </w:rPr>
        <w:t>产业发展“三新”亮点</w:t>
      </w:r>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14:paraId="39AF7C3B">
      <w:pPr>
        <w:wordWrap/>
        <w:adjustRightInd w:val="0"/>
        <w:snapToGrid w:val="0"/>
        <w:spacing w:beforeLines="0" w:afterLines="0" w:line="570" w:lineRule="exact"/>
        <w:ind w:left="0" w:leftChars="0" w:right="0" w:firstLine="640" w:firstLineChars="200"/>
        <w:jc w:val="left"/>
        <w:textAlignment w:val="auto"/>
        <w:rPr>
          <w:rStyle w:val="48"/>
          <w:bCs/>
          <w:color w:val="000000"/>
        </w:rPr>
      </w:pPr>
      <w:r>
        <w:rPr>
          <w:rFonts w:cs="Times New Roman"/>
          <w:color w:val="000000"/>
        </w:rPr>
        <w:t>聚焦打造“五大产业生态圈”</w:t>
      </w:r>
      <w:r>
        <w:rPr>
          <w:rStyle w:val="48"/>
          <w:rFonts w:ascii="Times New Roman"/>
          <w:color w:val="000000"/>
        </w:rPr>
        <w:t>，</w:t>
      </w:r>
      <w:r>
        <w:rPr>
          <w:rFonts w:cs="Times New Roman"/>
          <w:bCs/>
          <w:color w:val="000000"/>
          <w:szCs w:val="32"/>
        </w:rPr>
        <w:t>抢先布局未来潜力大、成长快的产业新赛道，赋能传统制造业，焕活特色服务业三路并进，</w:t>
      </w:r>
      <w:r>
        <w:rPr>
          <w:rStyle w:val="48"/>
          <w:rFonts w:ascii="Times New Roman"/>
          <w:color w:val="000000"/>
        </w:rPr>
        <w:t>打造余杭特色现代化产业体系，夯实经济增长压舱石</w:t>
      </w:r>
      <w:r>
        <w:rPr>
          <w:rFonts w:cs="Times New Roman"/>
          <w:bCs/>
          <w:color w:val="000000"/>
          <w:szCs w:val="32"/>
        </w:rPr>
        <w:t>。</w:t>
      </w:r>
      <w:r>
        <w:rPr>
          <w:rFonts w:cs="Times New Roman"/>
          <w:b/>
          <w:bCs/>
          <w:color w:val="000000"/>
          <w:szCs w:val="32"/>
        </w:rPr>
        <w:t>一是在数字经济发展中抢抓新风口。</w:t>
      </w:r>
      <w:r>
        <w:rPr>
          <w:rFonts w:cs="Times New Roman"/>
          <w:color w:val="000000"/>
          <w:szCs w:val="32"/>
        </w:rPr>
        <w:t>纵深推进</w:t>
      </w:r>
      <w:r>
        <w:rPr>
          <w:rFonts w:hint="eastAsia" w:cs="Times New Roman"/>
          <w:color w:val="000000"/>
          <w:szCs w:val="32"/>
        </w:rPr>
        <w:t>数字经济</w:t>
      </w:r>
      <w:r>
        <w:rPr>
          <w:rFonts w:hint="eastAsia" w:cs="Times New Roman"/>
          <w:color w:val="000000"/>
          <w:szCs w:val="32"/>
          <w:shd w:val="clear" w:color="070000" w:fill="auto"/>
        </w:rPr>
        <w:t>创新提质</w:t>
      </w:r>
      <w:r>
        <w:rPr>
          <w:rFonts w:ascii="宋体" w:hAnsi="宋体" w:eastAsia="宋体" w:cs="宋体"/>
          <w:color w:val="000000"/>
          <w:sz w:val="24"/>
          <w:szCs w:val="24"/>
        </w:rPr>
        <w:t xml:space="preserve"> </w:t>
      </w:r>
      <w:r>
        <w:rPr>
          <w:rFonts w:hint="eastAsia" w:cs="Times New Roman"/>
          <w:color w:val="000000"/>
          <w:szCs w:val="32"/>
        </w:rPr>
        <w:t>“一号</w:t>
      </w:r>
      <w:r>
        <w:rPr>
          <w:rFonts w:cs="Times New Roman"/>
          <w:color w:val="000000"/>
          <w:szCs w:val="32"/>
        </w:rPr>
        <w:t>发展</w:t>
      </w:r>
      <w:r>
        <w:rPr>
          <w:rFonts w:hint="eastAsia" w:cs="Times New Roman"/>
          <w:color w:val="000000"/>
          <w:szCs w:val="32"/>
        </w:rPr>
        <w:t>工程”，促进数字产业化和产业数字化融合发展。</w:t>
      </w:r>
      <w:r>
        <w:rPr>
          <w:rFonts w:cs="Times New Roman"/>
          <w:color w:val="000000"/>
          <w:szCs w:val="32"/>
        </w:rPr>
        <w:t>打造智慧物流产业园，构建全国领先的智能物联产业链。</w:t>
      </w:r>
      <w:r>
        <w:rPr>
          <w:rFonts w:cs="Times New Roman"/>
          <w:color w:val="000000"/>
        </w:rPr>
        <w:t>适度超前布局元宇宙、量子科技等未来产业</w:t>
      </w:r>
      <w:r>
        <w:rPr>
          <w:rStyle w:val="48"/>
          <w:rFonts w:ascii="Times New Roman"/>
          <w:color w:val="000000"/>
        </w:rPr>
        <w:t>，</w:t>
      </w:r>
      <w:r>
        <w:rPr>
          <w:rFonts w:cs="Times New Roman"/>
          <w:color w:val="000000"/>
          <w:szCs w:val="32"/>
        </w:rPr>
        <w:t>加快算力中心等数字基建步伐，全力构建“端边云网智”深度融合的算力基础设施体系，为</w:t>
      </w:r>
      <w:r>
        <w:rPr>
          <w:rStyle w:val="48"/>
          <w:rFonts w:ascii="Times New Roman"/>
          <w:color w:val="000000"/>
        </w:rPr>
        <w:t>打造未来产业引领地提供有力支撑。</w:t>
      </w:r>
      <w:r>
        <w:rPr>
          <w:rFonts w:cs="Times New Roman"/>
          <w:b/>
          <w:bCs/>
          <w:color w:val="000000"/>
          <w:szCs w:val="32"/>
        </w:rPr>
        <w:t>二是</w:t>
      </w:r>
      <w:r>
        <w:rPr>
          <w:rFonts w:cs="Times New Roman"/>
          <w:b/>
          <w:bCs/>
          <w:color w:val="000000"/>
          <w:szCs w:val="24"/>
        </w:rPr>
        <w:t>在传统制造业转型中把握新方向</w:t>
      </w:r>
      <w:r>
        <w:rPr>
          <w:rFonts w:cs="Times New Roman"/>
          <w:b/>
          <w:bCs/>
          <w:color w:val="000000"/>
          <w:szCs w:val="32"/>
        </w:rPr>
        <w:t>。</w:t>
      </w:r>
      <w:r>
        <w:rPr>
          <w:rStyle w:val="48"/>
          <w:rFonts w:hint="eastAsia" w:ascii="Times New Roman"/>
          <w:color w:val="000000"/>
        </w:rPr>
        <w:t>加速数字经济与实体经济、战略性新兴产业与传统产业、先进制造业与现代服务业深度融合，推进两化融合。</w:t>
      </w:r>
      <w:r>
        <w:rPr>
          <w:rFonts w:hint="eastAsia" w:cs="Times New Roman"/>
          <w:color w:val="000000"/>
          <w:szCs w:val="32"/>
        </w:rPr>
        <w:t>加快</w:t>
      </w:r>
      <w:r>
        <w:rPr>
          <w:rFonts w:cs="Times New Roman"/>
          <w:color w:val="000000"/>
          <w:szCs w:val="32"/>
        </w:rPr>
        <w:t>推进制造业细分行业产业大脑平台建设，着力构建合作共赢的“未来工厂”生态圈。实施新智造主体“金字塔”式梯次培育，形成智能制造主体培育库。</w:t>
      </w:r>
      <w:r>
        <w:rPr>
          <w:rFonts w:cs="Times New Roman"/>
          <w:b/>
          <w:bCs/>
          <w:color w:val="000000"/>
          <w:szCs w:val="32"/>
        </w:rPr>
        <w:t>三是</w:t>
      </w:r>
      <w:r>
        <w:rPr>
          <w:rFonts w:cs="Times New Roman"/>
          <w:b/>
          <w:bCs/>
          <w:color w:val="000000"/>
          <w:szCs w:val="24"/>
        </w:rPr>
        <w:t>在特色服务业布局中瞄准新趋势。</w:t>
      </w:r>
      <w:r>
        <w:rPr>
          <w:rFonts w:cs="Times New Roman"/>
          <w:color w:val="000000"/>
          <w:szCs w:val="32"/>
        </w:rPr>
        <w:t>打响数智新消费品牌，推动传统商贸与线上新零售、新消费、新体验等新业态有机结合，做强“首店经济”“首发经济”。</w:t>
      </w:r>
      <w:r>
        <w:rPr>
          <w:rStyle w:val="48"/>
          <w:rFonts w:ascii="Times New Roman"/>
          <w:color w:val="000000"/>
        </w:rPr>
        <w:t>打好“线上+线下”“白天+晚上”</w:t>
      </w:r>
      <w:r>
        <w:rPr>
          <w:rStyle w:val="48"/>
          <w:rFonts w:hint="eastAsia"/>
          <w:color w:val="000000"/>
        </w:rPr>
        <w:t>系列</w:t>
      </w:r>
      <w:r>
        <w:rPr>
          <w:rStyle w:val="48"/>
          <w:rFonts w:ascii="Times New Roman"/>
          <w:color w:val="000000"/>
        </w:rPr>
        <w:t>组合拳，</w:t>
      </w:r>
      <w:r>
        <w:rPr>
          <w:rFonts w:cs="Times New Roman"/>
          <w:color w:val="000000"/>
          <w:szCs w:val="36"/>
        </w:rPr>
        <w:t>赋予电商、文创、旅游等特色服务业全新活力。融合虚拟现实与文商旅产业，构建优质高沉浸交互体验</w:t>
      </w:r>
      <w:r>
        <w:rPr>
          <w:rStyle w:val="48"/>
          <w:rFonts w:ascii="Times New Roman"/>
          <w:color w:val="000000"/>
        </w:rPr>
        <w:t>。</w:t>
      </w:r>
      <w:r>
        <w:rPr>
          <w:rStyle w:val="48"/>
          <w:bCs/>
          <w:color w:val="000000"/>
        </w:rPr>
        <w:t>支持企业发展服务型制造新模式，培育一批服务型制造示范企业。</w:t>
      </w:r>
    </w:p>
    <w:p w14:paraId="31CD2F0C">
      <w:pPr>
        <w:pStyle w:val="3"/>
        <w:wordWrap/>
        <w:adjustRightInd w:val="0"/>
        <w:snapToGrid w:val="0"/>
        <w:spacing w:beforeLines="0" w:afterLines="0" w:line="570" w:lineRule="exact"/>
        <w:ind w:left="0" w:leftChars="0" w:right="0" w:firstLine="640" w:firstLineChars="200"/>
        <w:jc w:val="left"/>
        <w:textAlignment w:val="auto"/>
        <w:rPr>
          <w:rStyle w:val="48"/>
          <w:rFonts w:hint="eastAsia" w:ascii="楷体_GB2312" w:hAnsi="楷体_GB2312" w:eastAsia="楷体_GB2312" w:cs="楷体_GB2312"/>
          <w:color w:val="000000"/>
        </w:rPr>
      </w:pPr>
      <w:r>
        <w:rPr>
          <w:rStyle w:val="48"/>
          <w:rFonts w:ascii="楷体_GB2312" w:hAnsi="楷体_GB2312" w:eastAsia="楷体_GB2312" w:cs="楷体_GB2312"/>
          <w:color w:val="000000"/>
        </w:rPr>
        <w:t>（四）</w:t>
      </w:r>
      <w:r>
        <w:rPr>
          <w:rStyle w:val="48"/>
          <w:rFonts w:hint="default" w:ascii="楷体_GB2312" w:hAnsi="楷体_GB2312" w:cs="楷体_GB2312"/>
          <w:color w:val="000000"/>
          <w:sz w:val="32"/>
        </w:rPr>
        <w:t>持续</w:t>
      </w:r>
      <w:r>
        <w:rPr>
          <w:rStyle w:val="48"/>
          <w:rFonts w:hint="eastAsia" w:ascii="楷体_GB2312" w:hAnsi="楷体_GB2312" w:eastAsia="楷体_GB2312" w:cs="楷体_GB2312"/>
          <w:color w:val="000000"/>
          <w:lang w:val="en-US"/>
        </w:rPr>
        <w:t>打造营商环境最优区</w:t>
      </w:r>
    </w:p>
    <w:p w14:paraId="354BDE6B">
      <w:pPr>
        <w:pStyle w:val="3"/>
        <w:wordWrap/>
        <w:adjustRightInd w:val="0"/>
        <w:snapToGrid w:val="0"/>
        <w:spacing w:beforeLines="0" w:afterLines="0" w:line="570" w:lineRule="exact"/>
        <w:ind w:left="0" w:leftChars="0" w:right="0" w:firstLine="640" w:firstLineChars="200"/>
        <w:jc w:val="left"/>
        <w:textAlignment w:val="auto"/>
        <w:outlineLvl w:val="9"/>
        <w:rPr>
          <w:rStyle w:val="48"/>
          <w:color w:val="000000"/>
        </w:rPr>
      </w:pPr>
      <w:r>
        <w:rPr>
          <w:rFonts w:hint="default" w:ascii="Times New Roman" w:hAnsi="Times New Roman" w:eastAsia="仿宋_GB2312" w:cs="Times New Roman"/>
          <w:b w:val="0"/>
          <w:bCs w:val="0"/>
          <w:color w:val="000000"/>
          <w:sz w:val="32"/>
          <w:szCs w:val="32"/>
          <w:lang w:val="en-US" w:eastAsia="zh-CN"/>
        </w:rPr>
        <w:t>在深化改革、扩大开放上续写新篇</w:t>
      </w:r>
      <w:r>
        <w:rPr>
          <w:rFonts w:hint="eastAsia" w:eastAsia="仿宋_GB2312" w:cs="Times New Roman"/>
          <w:b w:val="0"/>
          <w:bCs w:val="0"/>
          <w:color w:val="000000"/>
          <w:sz w:val="32"/>
          <w:szCs w:val="32"/>
          <w:lang w:val="en-US" w:eastAsia="zh-CN"/>
        </w:rPr>
        <w:t>，加快打造“我负责阳光雨露、你负责茁壮成长”余杭营商环境品牌升级版，支持推动更多企业抱团出海、借船出海，坚定不移“大抓项目、抓大项目”，在落实“两个毫不动摇”中促进民营经济“两个健康”。</w:t>
      </w:r>
      <w:r>
        <w:rPr>
          <w:rStyle w:val="48"/>
          <w:rFonts w:hint="eastAsia"/>
          <w:b/>
          <w:bCs/>
          <w:color w:val="000000"/>
          <w:lang w:val="en-US"/>
        </w:rPr>
        <w:t>一</w:t>
      </w:r>
      <w:r>
        <w:rPr>
          <w:rStyle w:val="48"/>
          <w:rFonts w:hint="eastAsia"/>
          <w:b/>
          <w:bCs/>
          <w:color w:val="000000"/>
        </w:rPr>
        <w:t>是加快迭代助企服务，打造营商环境</w:t>
      </w:r>
      <w:r>
        <w:rPr>
          <w:rStyle w:val="48"/>
          <w:rFonts w:hint="default" w:ascii="仿宋_GB2312"/>
          <w:b/>
          <w:bCs/>
          <w:color w:val="000000"/>
        </w:rPr>
        <w:t>新优势</w:t>
      </w:r>
      <w:r>
        <w:rPr>
          <w:rStyle w:val="48"/>
          <w:rFonts w:hint="eastAsia"/>
          <w:b/>
          <w:bCs/>
          <w:color w:val="000000"/>
        </w:rPr>
        <w:t>。</w:t>
      </w:r>
      <w:r>
        <w:rPr>
          <w:rStyle w:val="48"/>
          <w:rFonts w:hint="eastAsia"/>
          <w:b w:val="0"/>
          <w:bCs w:val="0"/>
          <w:color w:val="000000"/>
          <w:lang w:val="en-US"/>
        </w:rPr>
        <w:t>用足用好</w:t>
      </w:r>
      <w:r>
        <w:rPr>
          <w:rStyle w:val="48"/>
          <w:rFonts w:hint="eastAsia"/>
          <w:color w:val="000000"/>
        </w:rPr>
        <w:t>企业（人才）综合服务中心和“余省心”涉企服务“一网通办”平台</w:t>
      </w:r>
      <w:r>
        <w:rPr>
          <w:rStyle w:val="48"/>
          <w:rFonts w:hint="eastAsia"/>
          <w:bCs w:val="0"/>
          <w:color w:val="000000"/>
        </w:rPr>
        <w:t>，加快从便捷服务到增值服务的全面升级，</w:t>
      </w:r>
      <w:r>
        <w:rPr>
          <w:rStyle w:val="48"/>
          <w:rFonts w:hint="eastAsia"/>
          <w:color w:val="000000"/>
        </w:rPr>
        <w:t>持续优化民营经济发展环境</w:t>
      </w:r>
      <w:r>
        <w:rPr>
          <w:rStyle w:val="48"/>
          <w:rFonts w:hint="eastAsia"/>
          <w:bCs w:val="0"/>
          <w:color w:val="000000"/>
        </w:rPr>
        <w:t>。</w:t>
      </w:r>
      <w:r>
        <w:rPr>
          <w:rStyle w:val="48"/>
          <w:rFonts w:hint="eastAsia"/>
          <w:color w:val="000000"/>
        </w:rPr>
        <w:t>标准化助企服务流程及问题收集、结办、反馈等机制，提高服务的精准性、时效性，利用优质服务、优质政策形成项目集聚“洼地效应”</w:t>
      </w:r>
      <w:r>
        <w:rPr>
          <w:rStyle w:val="48"/>
          <w:rFonts w:hint="eastAsia"/>
          <w:bCs w:val="0"/>
          <w:color w:val="000000"/>
        </w:rPr>
        <w:t>。</w:t>
      </w:r>
      <w:r>
        <w:rPr>
          <w:rStyle w:val="48"/>
          <w:rFonts w:hint="eastAsia"/>
          <w:b/>
          <w:bCs/>
          <w:color w:val="000000"/>
        </w:rPr>
        <w:t>二是深化数字化改革，打造</w:t>
      </w:r>
      <w:r>
        <w:rPr>
          <w:rStyle w:val="48"/>
          <w:rFonts w:hint="eastAsia"/>
          <w:b/>
          <w:bCs/>
          <w:color w:val="000000"/>
          <w:lang w:val="en-US"/>
        </w:rPr>
        <w:t>更多</w:t>
      </w:r>
      <w:r>
        <w:rPr>
          <w:rStyle w:val="48"/>
          <w:rFonts w:hint="eastAsia"/>
          <w:b/>
          <w:bCs/>
          <w:color w:val="000000"/>
        </w:rPr>
        <w:t>标志性成果。</w:t>
      </w:r>
      <w:r>
        <w:rPr>
          <w:rStyle w:val="48"/>
          <w:rFonts w:hint="eastAsia"/>
          <w:b w:val="0"/>
          <w:bCs w:val="0"/>
          <w:color w:val="000000"/>
          <w:lang w:val="en-US"/>
        </w:rPr>
        <w:t>持续</w:t>
      </w:r>
      <w:r>
        <w:rPr>
          <w:rStyle w:val="48"/>
          <w:rFonts w:hint="eastAsia"/>
          <w:b w:val="0"/>
          <w:bCs w:val="0"/>
          <w:color w:val="000000"/>
        </w:rPr>
        <w:t>推进重大改革项目，积极争取新增一批探索性、引领性、标志性的改革试点。</w:t>
      </w:r>
      <w:r>
        <w:rPr>
          <w:rStyle w:val="48"/>
          <w:rFonts w:hint="eastAsia"/>
          <w:b w:val="0"/>
          <w:bCs w:val="0"/>
          <w:color w:val="000000"/>
          <w:lang w:val="en-US"/>
        </w:rPr>
        <w:t>纵深推进</w:t>
      </w:r>
      <w:r>
        <w:rPr>
          <w:rStyle w:val="48"/>
          <w:rFonts w:hint="eastAsia"/>
          <w:bCs w:val="0"/>
          <w:color w:val="000000"/>
        </w:rPr>
        <w:t>数字社会建设，加快浙里康养、浙有善育等“浙”系列应用落地，持续推出舒心养老、舒心育儿等“舒心”系列应用。坚持以党建统领整体智治系统，全面提升区域治理现代化水平，筑牢除险保安的铜墙铁壁。</w:t>
      </w:r>
      <w:r>
        <w:rPr>
          <w:rStyle w:val="48"/>
          <w:rFonts w:hint="eastAsia"/>
          <w:b/>
          <w:bCs/>
          <w:color w:val="000000"/>
        </w:rPr>
        <w:t>三是深耕“地瓜经济”，打造高能级开放强区。</w:t>
      </w:r>
      <w:r>
        <w:rPr>
          <w:rStyle w:val="48"/>
          <w:rFonts w:hint="default"/>
          <w:b w:val="0"/>
          <w:bCs w:val="0"/>
          <w:color w:val="000000"/>
          <w:lang w:val="en-US" w:eastAsia="zh-CN"/>
        </w:rPr>
        <w:t>深入实施丝路领航、蛟龙行动等，全力支持区内跨国公司、跨境电商企业和外向型企业做大做强做优。组织企业抱团参加海外展会，积极推动区内企业用足用好境内外资源，提升国际竞争力及市场占有率。主动参与“一带一路”建设，推动“地瓜经济”提能升级试点工作，全力培育服务贸易示范园区及示范企业。</w:t>
      </w:r>
    </w:p>
    <w:p w14:paraId="05D60301">
      <w:pPr>
        <w:pStyle w:val="3"/>
        <w:wordWrap/>
        <w:adjustRightInd w:val="0"/>
        <w:snapToGrid w:val="0"/>
        <w:spacing w:beforeLines="0" w:afterLines="0" w:line="570" w:lineRule="exact"/>
        <w:ind w:left="0" w:leftChars="0" w:right="0" w:firstLine="640" w:firstLineChars="200"/>
        <w:jc w:val="left"/>
        <w:textAlignment w:val="auto"/>
        <w:rPr>
          <w:rStyle w:val="48"/>
          <w:rFonts w:hint="eastAsia" w:ascii="楷体_GB2312" w:hAnsi="楷体_GB2312" w:eastAsia="楷体_GB2312" w:cs="楷体_GB2312"/>
          <w:color w:val="000000"/>
        </w:rPr>
      </w:pPr>
      <w:r>
        <w:rPr>
          <w:rStyle w:val="48"/>
          <w:rFonts w:hint="eastAsia" w:ascii="楷体_GB2312" w:hAnsi="楷体_GB2312" w:eastAsia="楷体_GB2312" w:cs="楷体_GB2312"/>
          <w:color w:val="000000"/>
        </w:rPr>
        <w:t>（</w:t>
      </w:r>
      <w:r>
        <w:rPr>
          <w:rFonts w:hint="eastAsia" w:ascii="楷体_GB2312" w:hAnsi="楷体_GB2312" w:cs="楷体_GB2312"/>
          <w:color w:val="000000"/>
        </w:rPr>
        <w:t>五</w:t>
      </w:r>
      <w:r>
        <w:rPr>
          <w:rStyle w:val="48"/>
          <w:rFonts w:hint="eastAsia" w:ascii="楷体_GB2312" w:hAnsi="楷体_GB2312" w:eastAsia="楷体_GB2312" w:cs="楷体_GB2312"/>
          <w:color w:val="000000"/>
        </w:rPr>
        <w:t>）</w:t>
      </w:r>
      <w:r>
        <w:rPr>
          <w:rStyle w:val="48"/>
          <w:rFonts w:hint="eastAsia" w:ascii="楷体_GB2312" w:hAnsi="楷体_GB2312" w:eastAsia="楷体_GB2312" w:cs="楷体_GB2312"/>
          <w:color w:val="000000"/>
          <w:lang w:val="en-US"/>
        </w:rPr>
        <w:t>全面开创“国际一流”城区建设新局面</w:t>
      </w:r>
    </w:p>
    <w:p w14:paraId="12E89037">
      <w:pPr>
        <w:widowControl/>
        <w:wordWrap/>
        <w:adjustRightInd w:val="0"/>
        <w:snapToGrid w:val="0"/>
        <w:spacing w:beforeLines="0" w:beforeAutospacing="0" w:afterLines="0" w:afterAutospacing="0" w:line="570" w:lineRule="exact"/>
        <w:ind w:left="0" w:leftChars="0" w:right="0" w:firstLine="640" w:firstLineChars="200"/>
        <w:jc w:val="left"/>
        <w:textAlignment w:val="auto"/>
        <w:rPr>
          <w:rStyle w:val="48"/>
          <w:rFonts w:hint="eastAsia" w:ascii="Times New Roman"/>
          <w:color w:val="000000"/>
        </w:rPr>
      </w:pPr>
      <w:r>
        <w:rPr>
          <w:rStyle w:val="48"/>
          <w:rFonts w:hint="eastAsia"/>
          <w:color w:val="000000"/>
          <w:lang w:val="en-US"/>
        </w:rPr>
        <w:t>聚焦</w:t>
      </w:r>
      <w:r>
        <w:rPr>
          <w:rStyle w:val="48"/>
          <w:color w:val="000000"/>
        </w:rPr>
        <w:t>更宜居、更宜业、更宜游、更宜学、更宜创新，持续在优化城市形态、完善功能布局、产城人文融合上下功夫</w:t>
      </w:r>
      <w:r>
        <w:rPr>
          <w:rStyle w:val="48"/>
          <w:rFonts w:hint="eastAsia" w:ascii="Times New Roman"/>
          <w:color w:val="000000"/>
        </w:rPr>
        <w:t>，</w:t>
      </w:r>
      <w:r>
        <w:rPr>
          <w:rStyle w:val="48"/>
          <w:rFonts w:hint="eastAsia"/>
          <w:color w:val="000000"/>
          <w:lang w:val="en-US"/>
        </w:rPr>
        <w:t>深入推进路网联通</w:t>
      </w:r>
      <w:r>
        <w:rPr>
          <w:rStyle w:val="48"/>
          <w:rFonts w:hint="eastAsia" w:ascii="Times New Roman"/>
          <w:color w:val="000000"/>
        </w:rPr>
        <w:t>、</w:t>
      </w:r>
      <w:r>
        <w:rPr>
          <w:rStyle w:val="48"/>
          <w:rFonts w:hint="eastAsia"/>
          <w:color w:val="000000"/>
          <w:lang w:val="en-US"/>
        </w:rPr>
        <w:t>核心区建设</w:t>
      </w:r>
      <w:r>
        <w:rPr>
          <w:rStyle w:val="48"/>
          <w:rFonts w:hint="eastAsia" w:ascii="Times New Roman"/>
          <w:color w:val="000000"/>
        </w:rPr>
        <w:t>、</w:t>
      </w:r>
      <w:r>
        <w:rPr>
          <w:rStyle w:val="48"/>
          <w:rFonts w:hint="eastAsia"/>
          <w:color w:val="000000"/>
          <w:lang w:val="en-US"/>
        </w:rPr>
        <w:t>城市治理</w:t>
      </w:r>
      <w:r>
        <w:rPr>
          <w:rStyle w:val="48"/>
          <w:rFonts w:hint="eastAsia" w:ascii="Times New Roman"/>
          <w:color w:val="000000"/>
        </w:rPr>
        <w:t>，塑造杭州城市重要新中心新形象。</w:t>
      </w:r>
      <w:r>
        <w:rPr>
          <w:rStyle w:val="48"/>
          <w:rFonts w:hint="eastAsia" w:ascii="Times New Roman"/>
          <w:b/>
          <w:bCs/>
          <w:color w:val="000000"/>
        </w:rPr>
        <w:t>一是持续推进交通畅达工程，优化城市路网</w:t>
      </w:r>
      <w:r>
        <w:rPr>
          <w:rStyle w:val="48"/>
          <w:rFonts w:hint="eastAsia"/>
          <w:b/>
          <w:bCs/>
          <w:color w:val="000000"/>
          <w:lang w:val="en-US"/>
        </w:rPr>
        <w:t>格局</w:t>
      </w:r>
      <w:r>
        <w:rPr>
          <w:rStyle w:val="48"/>
          <w:rFonts w:hint="eastAsia" w:ascii="Times New Roman"/>
          <w:b/>
          <w:bCs/>
          <w:color w:val="000000"/>
        </w:rPr>
        <w:t>。</w:t>
      </w:r>
      <w:r>
        <w:rPr>
          <w:rStyle w:val="48"/>
          <w:rFonts w:hint="eastAsia" w:ascii="Times New Roman"/>
          <w:color w:val="000000"/>
        </w:rPr>
        <w:t>统筹建设区域性现代综合交通枢纽和城市道路交通网，完善主次干路通道布局，优化路网结构，加强重点片区通道联系，整合区域内部通道，打通瓶颈节点，提高整体效益。开展支路网络加密工程，围绕医院、学校、保障房、老旧小区改造等民生项目，建设配套支路微循环。</w:t>
      </w:r>
      <w:r>
        <w:rPr>
          <w:rStyle w:val="48"/>
          <w:rFonts w:hint="eastAsia" w:ascii="Times New Roman"/>
          <w:b/>
          <w:bCs/>
          <w:color w:val="000000"/>
        </w:rPr>
        <w:t>二是持续推进核心区域建设，优化城市地标窗口。</w:t>
      </w:r>
      <w:r>
        <w:rPr>
          <w:rStyle w:val="48"/>
          <w:rFonts w:hint="eastAsia" w:ascii="Times New Roman"/>
          <w:color w:val="000000"/>
        </w:rPr>
        <w:t>以杭州城市新中心核心区（中轴线）实施性城市设计及重点建筑景观概念设计为蓝图，将中轴线片区建设成集办公生活、绿色科技、文化体验、消费休闲于一体的城市高活力中心，着力打造具有国际影响力、空间吸引力、文化创新力的杭州城市新窗口。</w:t>
      </w:r>
      <w:r>
        <w:rPr>
          <w:rStyle w:val="48"/>
          <w:rFonts w:hint="eastAsia" w:ascii="Times New Roman"/>
          <w:b/>
          <w:bCs/>
          <w:color w:val="000000"/>
        </w:rPr>
        <w:t>三是持续推进城市品质提升，优化城区治理水平。</w:t>
      </w:r>
      <w:r>
        <w:rPr>
          <w:rStyle w:val="48"/>
          <w:rFonts w:hint="eastAsia" w:ascii="Times New Roman"/>
          <w:color w:val="000000"/>
        </w:rPr>
        <w:t>加速引培国际国内知名品牌旗舰店、高端商贸项目，优化提升商圈商街品牌品质。强化数字化赋能，推进城市管理物联感知设备建设。建立健全道路保洁、停车管理、绿化养护、垃圾分类等常态化机制，持续提升城市管理精细化、品质化、智慧化、国际化水平。</w:t>
      </w:r>
    </w:p>
    <w:p w14:paraId="179B7EC3">
      <w:pPr>
        <w:pStyle w:val="3"/>
        <w:widowControl w:val="0"/>
        <w:wordWrap/>
        <w:adjustRightInd w:val="0"/>
        <w:snapToGrid w:val="0"/>
        <w:spacing w:beforeLines="0" w:afterLines="0" w:line="570" w:lineRule="exact"/>
        <w:ind w:left="0" w:leftChars="0" w:right="0" w:firstLine="640" w:firstLineChars="200"/>
        <w:jc w:val="left"/>
        <w:textAlignment w:val="auto"/>
        <w:outlineLvl w:val="1"/>
        <w:rPr>
          <w:rFonts w:cs="Times New Roman"/>
          <w:color w:val="000000"/>
        </w:rPr>
      </w:pPr>
      <w:bookmarkStart w:id="293" w:name="_Toc10662"/>
      <w:bookmarkStart w:id="294" w:name="_Toc11096"/>
      <w:bookmarkStart w:id="295" w:name="_Toc144819669"/>
      <w:bookmarkStart w:id="296" w:name="_Toc8442"/>
      <w:bookmarkStart w:id="297" w:name="_Toc5148"/>
      <w:bookmarkStart w:id="298" w:name="_Toc2464"/>
      <w:bookmarkStart w:id="299" w:name="_Toc2271"/>
      <w:bookmarkStart w:id="300" w:name="_Toc32674"/>
      <w:bookmarkStart w:id="301" w:name="_Toc2836"/>
      <w:bookmarkStart w:id="302" w:name="_Toc18233"/>
      <w:bookmarkStart w:id="303" w:name="_Toc13572"/>
      <w:bookmarkStart w:id="304" w:name="_Toc27146"/>
      <w:bookmarkStart w:id="305" w:name="_Toc26882"/>
      <w:bookmarkStart w:id="306" w:name="_Toc16256"/>
      <w:r>
        <w:rPr>
          <w:rFonts w:hint="eastAsia" w:cs="Times New Roman"/>
          <w:color w:val="000000"/>
        </w:rPr>
        <w:t>（六）纵深</w:t>
      </w:r>
      <w:r>
        <w:rPr>
          <w:rFonts w:cs="Times New Roman"/>
          <w:color w:val="000000"/>
        </w:rPr>
        <w:t>推进良渚文化大走廊</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p>
    <w:p w14:paraId="6962BB4C">
      <w:pPr>
        <w:wordWrap/>
        <w:adjustRightInd w:val="0"/>
        <w:snapToGrid w:val="0"/>
        <w:spacing w:beforeLines="0" w:afterLines="0" w:line="570" w:lineRule="exact"/>
        <w:ind w:left="0" w:leftChars="0" w:right="0" w:firstLine="640" w:firstLineChars="200"/>
        <w:jc w:val="left"/>
        <w:textAlignment w:val="auto"/>
        <w:rPr>
          <w:rStyle w:val="48"/>
          <w:rFonts w:ascii="Times New Roman"/>
          <w:color w:val="000000"/>
          <w:szCs w:val="24"/>
        </w:rPr>
      </w:pPr>
      <w:r>
        <w:rPr>
          <w:rFonts w:hint="eastAsia" w:cs="Times New Roman"/>
          <w:color w:val="000000"/>
          <w:szCs w:val="24"/>
        </w:rPr>
        <w:t>在建设中华民族现代文明上积极探索</w:t>
      </w:r>
      <w:r>
        <w:rPr>
          <w:rFonts w:hint="eastAsia" w:cs="Times New Roman"/>
          <w:color w:val="000000"/>
          <w:szCs w:val="24"/>
          <w:lang w:eastAsia="zh-CN"/>
        </w:rPr>
        <w:t>，</w:t>
      </w:r>
      <w:r>
        <w:rPr>
          <w:rFonts w:hint="eastAsia" w:cs="Times New Roman"/>
          <w:color w:val="000000"/>
          <w:szCs w:val="24"/>
        </w:rPr>
        <w:t>自觉站在“实证中华五千年文明史的圣地”的战略高度，抢抓亚运机遇，纵深推进良渚文化大走廊建设，进一步加强良渚文化挖掘，切实把历史文脉赓续好、传承好，全方位擦亮“看五千年中国来良渚”金名片</w:t>
      </w:r>
      <w:r>
        <w:rPr>
          <w:rFonts w:cs="Times New Roman"/>
          <w:color w:val="000000"/>
          <w:szCs w:val="32"/>
        </w:rPr>
        <w:t>。</w:t>
      </w:r>
      <w:r>
        <w:rPr>
          <w:rFonts w:cs="Times New Roman"/>
          <w:b/>
          <w:bCs/>
          <w:color w:val="000000"/>
          <w:szCs w:val="24"/>
        </w:rPr>
        <w:t>一是整合历史文化资源打造中华文明圣地。</w:t>
      </w:r>
      <w:r>
        <w:rPr>
          <w:rFonts w:hint="eastAsia" w:cs="Times New Roman"/>
          <w:color w:val="000000"/>
          <w:szCs w:val="32"/>
        </w:rPr>
        <w:t>高水平保障遗址公园运维，加快良渚国家文化公园规划建设</w:t>
      </w:r>
      <w:r>
        <w:rPr>
          <w:rFonts w:hint="eastAsia" w:cs="Times New Roman"/>
          <w:color w:val="000000"/>
          <w:szCs w:val="24"/>
        </w:rPr>
        <w:t>。</w:t>
      </w:r>
      <w:r>
        <w:rPr>
          <w:rFonts w:hint="eastAsia" w:cs="Times New Roman"/>
          <w:color w:val="000000"/>
          <w:szCs w:val="32"/>
        </w:rPr>
        <w:t>推进各级非物质文化遗产名录体系建设和代表性传承人的认定和管理，加强非遗展示馆建设，提升非遗产品和服务供给能力</w:t>
      </w:r>
      <w:r>
        <w:rPr>
          <w:rFonts w:cs="Times New Roman"/>
          <w:color w:val="000000"/>
          <w:szCs w:val="24"/>
        </w:rPr>
        <w:t>。深化良渚文化大走廊规划编制和落地，加强文化开发利用空间保障。</w:t>
      </w:r>
      <w:r>
        <w:rPr>
          <w:rFonts w:cs="Times New Roman"/>
          <w:b/>
          <w:bCs/>
          <w:color w:val="000000"/>
          <w:szCs w:val="24"/>
        </w:rPr>
        <w:t>二是以</w:t>
      </w:r>
      <w:r>
        <w:rPr>
          <w:rFonts w:hint="eastAsia" w:cs="Times New Roman"/>
          <w:b/>
          <w:bCs/>
          <w:color w:val="000000"/>
          <w:szCs w:val="24"/>
        </w:rPr>
        <w:t>主题</w:t>
      </w:r>
      <w:r>
        <w:rPr>
          <w:rFonts w:cs="Times New Roman"/>
          <w:b/>
          <w:bCs/>
          <w:color w:val="000000"/>
          <w:szCs w:val="24"/>
        </w:rPr>
        <w:t>教育常态化发扬红色根脉。</w:t>
      </w:r>
      <w:r>
        <w:rPr>
          <w:rFonts w:hint="eastAsia" w:cs="Times New Roman"/>
          <w:color w:val="000000"/>
          <w:spacing w:val="0"/>
          <w:sz w:val="32"/>
          <w:szCs w:val="32"/>
          <w:lang w:val="en-US" w:eastAsia="zh-CN"/>
        </w:rPr>
        <w:t>深入开展主题教育，加快推进“红色根脉强基工程”，持续深化党建引领基层治理综合试点工作，推动基层党组织全面进步、全面过硬。</w:t>
      </w:r>
      <w:r>
        <w:rPr>
          <w:rFonts w:cs="Times New Roman"/>
          <w:color w:val="000000"/>
          <w:szCs w:val="24"/>
        </w:rPr>
        <w:t>以“八八战略”实施20周年为契机，</w:t>
      </w:r>
      <w:r>
        <w:rPr>
          <w:rFonts w:cs="Times New Roman"/>
          <w:color w:val="000000"/>
          <w:szCs w:val="32"/>
        </w:rPr>
        <w:t>把主题教育上下联动同学习贯彻习近平总书记重要指示精神有机结合，</w:t>
      </w:r>
      <w:r>
        <w:rPr>
          <w:rFonts w:cs="Times New Roman"/>
          <w:color w:val="000000"/>
          <w:szCs w:val="24"/>
        </w:rPr>
        <w:t>坚定不移深化“八八战略”余杭实践。</w:t>
      </w:r>
      <w:r>
        <w:rPr>
          <w:rFonts w:cs="Times New Roman"/>
          <w:b/>
          <w:bCs/>
          <w:color w:val="000000"/>
          <w:szCs w:val="24"/>
        </w:rPr>
        <w:t>三是集聚文创产业推动文化走入市场。</w:t>
      </w:r>
      <w:r>
        <w:rPr>
          <w:rFonts w:cs="Times New Roman"/>
          <w:color w:val="000000"/>
          <w:szCs w:val="24"/>
        </w:rPr>
        <w:t>有序加强良渚文化大走廊文旅、文创等各类文化产业开发力度，做强良渚文化大IP，牵引带动运河文化、径山文化共同发展，加快头部企业、文艺大咖招引，推进文化艺术街区和文化产业集聚区建设，打造国际文化创意中心核心区。</w:t>
      </w:r>
    </w:p>
    <w:p w14:paraId="0C4FD5FB">
      <w:pPr>
        <w:pStyle w:val="3"/>
        <w:wordWrap/>
        <w:adjustRightInd w:val="0"/>
        <w:snapToGrid w:val="0"/>
        <w:spacing w:beforeLines="0" w:afterLines="0" w:line="570" w:lineRule="exact"/>
        <w:ind w:left="0" w:leftChars="0" w:right="0" w:firstLine="640" w:firstLineChars="200"/>
        <w:jc w:val="left"/>
        <w:textAlignment w:val="auto"/>
        <w:rPr>
          <w:rFonts w:cs="Times New Roman"/>
          <w:color w:val="000000"/>
        </w:rPr>
      </w:pPr>
      <w:bookmarkStart w:id="307" w:name="_Toc21796"/>
      <w:bookmarkStart w:id="308" w:name="_Toc31783"/>
      <w:bookmarkStart w:id="309" w:name="_Toc17847"/>
      <w:bookmarkStart w:id="310" w:name="_Toc12009"/>
      <w:bookmarkStart w:id="311" w:name="_Toc9133"/>
      <w:bookmarkStart w:id="312" w:name="_Toc12515"/>
      <w:bookmarkStart w:id="313" w:name="_Toc2185"/>
      <w:bookmarkStart w:id="314" w:name="_Toc28514"/>
      <w:bookmarkStart w:id="315" w:name="_Toc24326"/>
      <w:bookmarkStart w:id="316" w:name="_Toc10390"/>
      <w:bookmarkStart w:id="317" w:name="_Toc144819670"/>
      <w:bookmarkStart w:id="318" w:name="_Toc8561"/>
      <w:bookmarkStart w:id="319" w:name="_Toc26890"/>
      <w:bookmarkStart w:id="320" w:name="_Toc7514"/>
      <w:r>
        <w:rPr>
          <w:rFonts w:hint="eastAsia" w:cs="Times New Roman"/>
          <w:color w:val="000000"/>
        </w:rPr>
        <w:t>（七）</w:t>
      </w:r>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r>
        <w:rPr>
          <w:rFonts w:hint="default" w:cs="Times New Roman"/>
          <w:color w:val="000000"/>
        </w:rPr>
        <w:t>深入</w:t>
      </w:r>
      <w:r>
        <w:rPr>
          <w:rFonts w:hint="eastAsia" w:cs="Times New Roman"/>
          <w:color w:val="000000"/>
        </w:rPr>
        <w:t>探索共同富裕“余杭样板”</w:t>
      </w:r>
    </w:p>
    <w:p w14:paraId="560A1CEE">
      <w:pPr>
        <w:wordWrap/>
        <w:adjustRightInd w:val="0"/>
        <w:snapToGrid w:val="0"/>
        <w:spacing w:beforeLines="0" w:afterLines="0" w:line="570" w:lineRule="exact"/>
        <w:ind w:left="0" w:leftChars="0" w:right="0" w:firstLine="640" w:firstLineChars="200"/>
        <w:jc w:val="left"/>
        <w:textAlignment w:val="auto"/>
        <w:rPr>
          <w:rStyle w:val="48"/>
          <w:rFonts w:ascii="Times New Roman"/>
          <w:color w:val="000000"/>
        </w:rPr>
      </w:pPr>
      <w:r>
        <w:rPr>
          <w:rFonts w:hint="eastAsia" w:cs="Times New Roman"/>
          <w:bCs/>
          <w:color w:val="000000"/>
          <w:szCs w:val="36"/>
        </w:rPr>
        <w:t>在推进共同富裕中先行示范</w:t>
      </w:r>
      <w:r>
        <w:rPr>
          <w:rFonts w:hint="eastAsia" w:cs="Times New Roman"/>
          <w:bCs/>
          <w:color w:val="000000"/>
          <w:szCs w:val="36"/>
          <w:lang w:eastAsia="zh-CN"/>
        </w:rPr>
        <w:t>，坚持和深化新时代“千万工程”，以高标准高质量创建国家乡村振兴示范区为抓手，大力推进公共服务优质共享，</w:t>
      </w:r>
      <w:r>
        <w:rPr>
          <w:rFonts w:hint="eastAsia" w:cs="Times New Roman"/>
          <w:bCs/>
          <w:color w:val="000000"/>
          <w:szCs w:val="36"/>
        </w:rPr>
        <w:t>不断深化“众人的事情由众人商量”全过程人民民主新实践</w:t>
      </w:r>
      <w:r>
        <w:rPr>
          <w:rFonts w:cs="Times New Roman"/>
          <w:bCs/>
          <w:color w:val="000000"/>
          <w:szCs w:val="36"/>
        </w:rPr>
        <w:t>。</w:t>
      </w:r>
      <w:r>
        <w:rPr>
          <w:rFonts w:cs="Times New Roman"/>
          <w:b/>
          <w:bCs/>
          <w:color w:val="000000"/>
          <w:szCs w:val="24"/>
        </w:rPr>
        <w:t>一是推动东西部产业共建，聚力缩小区域差距。</w:t>
      </w:r>
      <w:r>
        <w:rPr>
          <w:rFonts w:hint="eastAsia" w:cs="Times New Roman"/>
          <w:color w:val="000000"/>
          <w:szCs w:val="24"/>
        </w:rPr>
        <w:t>大力培育农产品加工、乡村休闲旅游等新经济新业态，有力打好融合发展组合拳</w:t>
      </w:r>
      <w:r>
        <w:rPr>
          <w:rFonts w:cs="Times New Roman"/>
          <w:color w:val="000000"/>
          <w:szCs w:val="24"/>
        </w:rPr>
        <w:t>。利用好企业“溢出效应”，深入发展农产品电商和直播电商，探索文旅产业、人工智能与现代农业等融合发展新模式。</w:t>
      </w:r>
      <w:r>
        <w:rPr>
          <w:rFonts w:cs="Times New Roman"/>
          <w:b/>
          <w:bCs/>
          <w:color w:val="000000"/>
          <w:szCs w:val="24"/>
        </w:rPr>
        <w:t>二是</w:t>
      </w:r>
      <w:r>
        <w:rPr>
          <w:rFonts w:hint="eastAsia" w:cs="Times New Roman"/>
          <w:b/>
          <w:bCs/>
          <w:color w:val="000000"/>
          <w:szCs w:val="24"/>
          <w:lang w:val="en-US" w:eastAsia="zh-CN"/>
        </w:rPr>
        <w:t>强化</w:t>
      </w:r>
      <w:r>
        <w:rPr>
          <w:rFonts w:cs="Times New Roman"/>
          <w:b/>
          <w:bCs/>
          <w:color w:val="000000"/>
          <w:szCs w:val="24"/>
        </w:rPr>
        <w:t>公共服务共享，</w:t>
      </w:r>
      <w:r>
        <w:rPr>
          <w:rFonts w:hint="eastAsia" w:cs="Times New Roman"/>
          <w:b/>
          <w:bCs/>
          <w:color w:val="000000"/>
          <w:szCs w:val="24"/>
          <w:lang w:val="en-US" w:eastAsia="zh-CN"/>
        </w:rPr>
        <w:t>聚力</w:t>
      </w:r>
      <w:r>
        <w:rPr>
          <w:rFonts w:cs="Times New Roman"/>
          <w:b/>
          <w:bCs/>
          <w:color w:val="000000"/>
          <w:szCs w:val="24"/>
        </w:rPr>
        <w:t>协调城乡发展</w:t>
      </w:r>
      <w:r>
        <w:rPr>
          <w:rStyle w:val="48"/>
          <w:rFonts w:ascii="Times New Roman"/>
          <w:color w:val="000000"/>
        </w:rPr>
        <w:t>。实施“五星幸福体工程”，</w:t>
      </w:r>
      <w:r>
        <w:rPr>
          <w:rStyle w:val="48"/>
          <w:rFonts w:hint="eastAsia" w:ascii="Times New Roman"/>
          <w:color w:val="000000"/>
        </w:rPr>
        <w:t>加大区属医院与省市优质医疗资源合作力度，</w:t>
      </w:r>
      <w:r>
        <w:rPr>
          <w:rFonts w:cs="Times New Roman"/>
          <w:bCs/>
          <w:color w:val="000000"/>
          <w:szCs w:val="32"/>
        </w:rPr>
        <w:t>重点提高教育、医疗、养老、文化、育幼、交通出行等公共服务供给水平，提升基本公共服务质量</w:t>
      </w:r>
      <w:r>
        <w:rPr>
          <w:rFonts w:hint="eastAsia" w:cs="Times New Roman"/>
          <w:bCs/>
          <w:color w:val="000000"/>
          <w:szCs w:val="32"/>
        </w:rPr>
        <w:t>，进一步增强人民群众幸福感</w:t>
      </w:r>
      <w:r>
        <w:rPr>
          <w:rFonts w:cs="Times New Roman"/>
          <w:bCs/>
          <w:color w:val="000000"/>
          <w:szCs w:val="32"/>
        </w:rPr>
        <w:t>。</w:t>
      </w:r>
      <w:r>
        <w:rPr>
          <w:rStyle w:val="48"/>
          <w:rFonts w:ascii="Times New Roman"/>
          <w:b/>
          <w:bCs/>
          <w:color w:val="000000"/>
        </w:rPr>
        <w:t>三是</w:t>
      </w:r>
      <w:r>
        <w:rPr>
          <w:rStyle w:val="48"/>
          <w:rFonts w:hint="eastAsia"/>
          <w:b/>
          <w:bCs/>
          <w:color w:val="000000"/>
          <w:lang w:val="en-US"/>
        </w:rPr>
        <w:t>加大扩中提低力度</w:t>
      </w:r>
      <w:r>
        <w:rPr>
          <w:rStyle w:val="48"/>
          <w:rFonts w:ascii="Times New Roman"/>
          <w:b/>
          <w:bCs/>
          <w:color w:val="000000"/>
        </w:rPr>
        <w:t>，聚力</w:t>
      </w:r>
      <w:r>
        <w:rPr>
          <w:rStyle w:val="48"/>
          <w:rFonts w:hint="eastAsia"/>
          <w:b/>
          <w:bCs/>
          <w:color w:val="000000"/>
          <w:lang w:val="en-US"/>
        </w:rPr>
        <w:t>提升居民收入</w:t>
      </w:r>
      <w:r>
        <w:rPr>
          <w:rStyle w:val="48"/>
          <w:rFonts w:ascii="Times New Roman"/>
          <w:b/>
          <w:color w:val="000000"/>
        </w:rPr>
        <w:t>。</w:t>
      </w:r>
      <w:r>
        <w:rPr>
          <w:rFonts w:cs="Times New Roman"/>
          <w:color w:val="000000"/>
        </w:rPr>
        <w:t>深入实施零就业家庭“清零行动”，鼓励针对低收入群体设置公益岗位和“爱心岗位”，加强就业困难人员托底安置和帮扶。推进中等收入群体规模倍增计划，</w:t>
      </w:r>
      <w:r>
        <w:rPr>
          <w:rFonts w:hint="eastAsia" w:cs="Times New Roman"/>
          <w:color w:val="000000"/>
        </w:rPr>
        <w:t>完善企业工资集体协调制度和最低工资标准调整机制，建成薪酬调整和信息发布体系。</w:t>
      </w:r>
      <w:r>
        <w:rPr>
          <w:rFonts w:hint="eastAsia" w:cs="Times New Roman"/>
          <w:b/>
          <w:bCs/>
          <w:color w:val="000000"/>
          <w:lang w:val="en-US" w:eastAsia="zh-CN"/>
        </w:rPr>
        <w:t>四是保卫蓝天绿水净土，聚力擦亮生态底色。</w:t>
      </w:r>
      <w:r>
        <w:rPr>
          <w:rFonts w:hint="default" w:ascii="Times New Roman" w:hAnsi="Times New Roman" w:eastAsia="仿宋_GB2312" w:cs="Times New Roman"/>
          <w:color w:val="000000"/>
          <w:sz w:val="32"/>
          <w:szCs w:val="32"/>
          <w:lang w:val="en-US" w:eastAsia="zh-CN"/>
        </w:rPr>
        <w:t>统筹山水林田湖草系统治理</w:t>
      </w:r>
      <w:r>
        <w:rPr>
          <w:rFonts w:hint="eastAsia" w:cs="Times New Roman"/>
          <w:color w:val="000000"/>
          <w:sz w:val="32"/>
          <w:szCs w:val="32"/>
          <w:lang w:val="en-US" w:eastAsia="zh-CN"/>
        </w:rPr>
        <w:t>，加强森林、湿地、野生动植物等自然生态保护。</w:t>
      </w:r>
      <w:r>
        <w:rPr>
          <w:rFonts w:hint="eastAsia" w:cs="Times New Roman"/>
          <w:color w:val="000000"/>
          <w:lang w:val="en-US" w:eastAsia="zh-CN"/>
        </w:rPr>
        <w:t>统筹推进治水治气治土治废治塑攻坚战，</w:t>
      </w:r>
      <w:r>
        <w:rPr>
          <w:rFonts w:hint="default" w:ascii="Times New Roman" w:hAnsi="Times New Roman" w:eastAsia="仿宋_GB2312" w:cs="Times New Roman"/>
          <w:color w:val="000000"/>
          <w:sz w:val="32"/>
        </w:rPr>
        <w:t>持续打好蓝天、碧水、净土、治塑保卫战，深化“无废城市”建设。有序推进碳达峰碳中和，大力发展清洁能源和节能环保产业，倡导简约适度、绿色低碳的生活方式。</w:t>
      </w:r>
    </w:p>
    <w:p w14:paraId="3EEFC2A4">
      <w:pPr>
        <w:adjustRightInd w:val="0"/>
        <w:snapToGrid w:val="0"/>
        <w:spacing w:beforeLines="0" w:afterLines="0" w:line="570" w:lineRule="exact"/>
        <w:ind w:firstLine="640"/>
        <w:rPr>
          <w:rFonts w:cs="Times New Roman"/>
        </w:rPr>
      </w:pPr>
    </w:p>
    <w:sectPr>
      <w:footerReference r:id="rId11" w:type="default"/>
      <w:pgSz w:w="11906" w:h="16838"/>
      <w:pgMar w:top="2098" w:right="1474" w:bottom="1984" w:left="1587" w:header="851" w:footer="992" w:gutter="0"/>
      <w:pgNumType w:fmt="decimal" w:start="1"/>
      <w:cols w:space="720" w:num="1"/>
      <w:docGrid w:type="lines" w:linePitch="45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Noto Music"/>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Noto Music"/>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Music">
    <w:panose1 w:val="020B0502040504020204"/>
    <w:charset w:val="00"/>
    <w:family w:val="auto"/>
    <w:pitch w:val="default"/>
    <w:sig w:usb0="00000003" w:usb1="02006000" w:usb2="01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FB03C">
    <w:pPr>
      <w:pStyle w:val="1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29757">
    <w:pPr>
      <w:pStyle w:val="1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91497">
    <w:pPr>
      <w:pStyle w:val="1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4BE1F">
    <w:pPr>
      <w:pStyle w:val="16"/>
      <w:tabs>
        <w:tab w:val="left" w:pos="3666"/>
        <w:tab w:val="clear" w:pos="4153"/>
      </w:tabs>
      <w:ind w:firstLine="360"/>
    </w:pPr>
    <w:r>
      <w:rPr>
        <w:rFonts w:ascii="Times New Roman" w:hAnsi="Times New Roman" w:eastAsia="仿宋_GB2312" w:cs="黑体"/>
        <w:kern w:val="2"/>
        <w:sz w:val="18"/>
        <w:szCs w:val="22"/>
        <w:lang w:val="en-US" w:eastAsia="zh-CN" w:bidi="ar-SA"/>
      </w:rPr>
      <w:pict>
        <v:shape id="文本框 2" o:spid="_x0000_s2049" o:spt="202" type="#_x0000_t202" style="position:absolute;left:0pt;margin-top:0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43F17CDF">
                <w:pPr>
                  <w:snapToGrid w:val="0"/>
                  <w:ind w:firstLine="0" w:firstLineChars="0"/>
                  <w:rPr>
                    <w:rFonts w:hint="eastAsia" w:eastAsia="仿宋_GB2312"/>
                    <w:sz w:val="1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rPr>
                  <w:t>2</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w:r>
    <w:r>
      <w:rPr>
        <w:rFonts w:ascii="Times New Roman" w:hAnsi="Times New Roman" w:eastAsia="仿宋_GB2312" w:cs="黑体"/>
        <w:kern w:val="2"/>
        <w:sz w:val="18"/>
        <w:szCs w:val="22"/>
        <w:lang w:val="en-US" w:eastAsia="zh-CN" w:bidi="ar-SA"/>
      </w:rPr>
      <w:pict>
        <v:rect id="Quad Arrow 3079" o:spid="_x0000_s2050" o:spt="1" style="position:absolute;left:0pt;margin-left:415.25pt;margin-top:-1.5pt;height:144pt;width:144pt;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FE48F5E">
                <w:pPr>
                  <w:snapToGrid w:val="0"/>
                  <w:ind w:firstLine="0" w:firstLineChars="0"/>
                  <w:rPr>
                    <w:rFonts w:cs="Times New Roman"/>
                    <w:sz w:val="24"/>
                    <w:szCs w:val="24"/>
                  </w:rPr>
                </w:pPr>
                <w:r>
                  <w:rPr>
                    <w:rFonts w:cs="Times New Roman"/>
                    <w:sz w:val="24"/>
                    <w:szCs w:val="24"/>
                  </w:rPr>
                  <w:t xml:space="preserve"> </w:t>
                </w:r>
              </w:p>
            </w:txbxContent>
          </v:textbox>
        </v:rect>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44917">
    <w:pPr>
      <w:pStyle w:val="1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F06F4">
    <w:pPr>
      <w:pStyle w:val="1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EC541">
    <w:pPr>
      <w:pStyle w:val="1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3C4FDF"/>
    <w:multiLevelType w:val="singleLevel"/>
    <w:tmpl w:val="B73C4FDF"/>
    <w:lvl w:ilvl="0" w:tentative="0">
      <w:start w:val="7"/>
      <w:numFmt w:val="chineseCounting"/>
      <w:suff w:val="nothing"/>
      <w:lvlText w:val="（%1）"/>
      <w:lvlJc w:val="left"/>
      <w:rPr>
        <w:rFonts w:hint="eastAsia"/>
      </w:rPr>
    </w:lvl>
  </w:abstractNum>
  <w:abstractNum w:abstractNumId="1">
    <w:nsid w:val="66A1DBAA"/>
    <w:multiLevelType w:val="singleLevel"/>
    <w:tmpl w:val="66A1DBAA"/>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trackRevisions w:val="1"/>
  <w:documentProtection w:enforcement="0"/>
  <w:defaultTabStop w:val="419"/>
  <w:drawingGridVerticalSpacing w:val="22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mUwMjdhYzE1YWU5ZWZmYzMwMmE5M2RjZDI2MjhlY2QifQ=="/>
  </w:docVars>
  <w:rsids>
    <w:rsidRoot w:val="00172A27"/>
    <w:rsid w:val="000358D1"/>
    <w:rsid w:val="000745F6"/>
    <w:rsid w:val="000C09A2"/>
    <w:rsid w:val="000C65D9"/>
    <w:rsid w:val="000D1AB9"/>
    <w:rsid w:val="000F0092"/>
    <w:rsid w:val="0010057E"/>
    <w:rsid w:val="001254D1"/>
    <w:rsid w:val="00172A27"/>
    <w:rsid w:val="0018796F"/>
    <w:rsid w:val="001A618E"/>
    <w:rsid w:val="001B1BEC"/>
    <w:rsid w:val="00207642"/>
    <w:rsid w:val="002263C9"/>
    <w:rsid w:val="002571AD"/>
    <w:rsid w:val="002959EB"/>
    <w:rsid w:val="002A5481"/>
    <w:rsid w:val="002A76C4"/>
    <w:rsid w:val="002E6588"/>
    <w:rsid w:val="0033316E"/>
    <w:rsid w:val="0033550D"/>
    <w:rsid w:val="003770F8"/>
    <w:rsid w:val="0039587D"/>
    <w:rsid w:val="003B4553"/>
    <w:rsid w:val="003D4B9C"/>
    <w:rsid w:val="003E678E"/>
    <w:rsid w:val="004077EA"/>
    <w:rsid w:val="004808D3"/>
    <w:rsid w:val="004C3035"/>
    <w:rsid w:val="004D2384"/>
    <w:rsid w:val="004D511D"/>
    <w:rsid w:val="004E17FB"/>
    <w:rsid w:val="004E2898"/>
    <w:rsid w:val="004F0192"/>
    <w:rsid w:val="004F5BE8"/>
    <w:rsid w:val="00532421"/>
    <w:rsid w:val="00543C61"/>
    <w:rsid w:val="00593374"/>
    <w:rsid w:val="005A5E05"/>
    <w:rsid w:val="005C5B27"/>
    <w:rsid w:val="005D3C24"/>
    <w:rsid w:val="005D537A"/>
    <w:rsid w:val="00620863"/>
    <w:rsid w:val="0062669C"/>
    <w:rsid w:val="006968E2"/>
    <w:rsid w:val="006B24A1"/>
    <w:rsid w:val="006D270A"/>
    <w:rsid w:val="00745AE4"/>
    <w:rsid w:val="007C7BB3"/>
    <w:rsid w:val="007E5261"/>
    <w:rsid w:val="007E798F"/>
    <w:rsid w:val="007F30EA"/>
    <w:rsid w:val="00832236"/>
    <w:rsid w:val="008E085D"/>
    <w:rsid w:val="008E0ADC"/>
    <w:rsid w:val="00941302"/>
    <w:rsid w:val="0094757F"/>
    <w:rsid w:val="00956477"/>
    <w:rsid w:val="009B0133"/>
    <w:rsid w:val="009D1F93"/>
    <w:rsid w:val="009D29CA"/>
    <w:rsid w:val="009F107F"/>
    <w:rsid w:val="00A32B53"/>
    <w:rsid w:val="00A5301D"/>
    <w:rsid w:val="00A544D3"/>
    <w:rsid w:val="00A557F6"/>
    <w:rsid w:val="00A75176"/>
    <w:rsid w:val="00A80820"/>
    <w:rsid w:val="00A92DFD"/>
    <w:rsid w:val="00AD61CD"/>
    <w:rsid w:val="00B05ED6"/>
    <w:rsid w:val="00B06ECC"/>
    <w:rsid w:val="00B3674D"/>
    <w:rsid w:val="00B457B7"/>
    <w:rsid w:val="00B760B0"/>
    <w:rsid w:val="00B856AB"/>
    <w:rsid w:val="00C05EC7"/>
    <w:rsid w:val="00C33425"/>
    <w:rsid w:val="00C45A35"/>
    <w:rsid w:val="00C46F86"/>
    <w:rsid w:val="00CC775B"/>
    <w:rsid w:val="00CD41B4"/>
    <w:rsid w:val="00CF06E0"/>
    <w:rsid w:val="00D3230B"/>
    <w:rsid w:val="00D525A2"/>
    <w:rsid w:val="00D56ACB"/>
    <w:rsid w:val="00D71BC9"/>
    <w:rsid w:val="00DB6CCA"/>
    <w:rsid w:val="00DF3401"/>
    <w:rsid w:val="00E11B66"/>
    <w:rsid w:val="00E51950"/>
    <w:rsid w:val="00E62FDE"/>
    <w:rsid w:val="00E760A1"/>
    <w:rsid w:val="00E8462E"/>
    <w:rsid w:val="00EA160B"/>
    <w:rsid w:val="00F02B8E"/>
    <w:rsid w:val="00F224DB"/>
    <w:rsid w:val="00F25F83"/>
    <w:rsid w:val="00F8114C"/>
    <w:rsid w:val="00F97589"/>
    <w:rsid w:val="00FC3B2D"/>
    <w:rsid w:val="00FD6CD1"/>
    <w:rsid w:val="00FD7761"/>
    <w:rsid w:val="010E72CB"/>
    <w:rsid w:val="01322983"/>
    <w:rsid w:val="014903A9"/>
    <w:rsid w:val="01511039"/>
    <w:rsid w:val="015350FE"/>
    <w:rsid w:val="015F254D"/>
    <w:rsid w:val="015F2FAE"/>
    <w:rsid w:val="01722330"/>
    <w:rsid w:val="01730582"/>
    <w:rsid w:val="01944054"/>
    <w:rsid w:val="01AF35D1"/>
    <w:rsid w:val="01B31FD7"/>
    <w:rsid w:val="01BD7CA4"/>
    <w:rsid w:val="01C9417B"/>
    <w:rsid w:val="01FB23CB"/>
    <w:rsid w:val="021D7488"/>
    <w:rsid w:val="02231391"/>
    <w:rsid w:val="02464B91"/>
    <w:rsid w:val="024B6CD3"/>
    <w:rsid w:val="02522DDA"/>
    <w:rsid w:val="02595FE8"/>
    <w:rsid w:val="02716D5A"/>
    <w:rsid w:val="028B4239"/>
    <w:rsid w:val="02DA1F3A"/>
    <w:rsid w:val="02F92D08"/>
    <w:rsid w:val="03523008"/>
    <w:rsid w:val="03745A25"/>
    <w:rsid w:val="037737D9"/>
    <w:rsid w:val="03B7706E"/>
    <w:rsid w:val="03C97144"/>
    <w:rsid w:val="03F35D89"/>
    <w:rsid w:val="03F37B5E"/>
    <w:rsid w:val="0401729D"/>
    <w:rsid w:val="04253FDA"/>
    <w:rsid w:val="044F06A2"/>
    <w:rsid w:val="045C1F36"/>
    <w:rsid w:val="0464428E"/>
    <w:rsid w:val="04675F49"/>
    <w:rsid w:val="047D0F06"/>
    <w:rsid w:val="04926B8C"/>
    <w:rsid w:val="04C13E58"/>
    <w:rsid w:val="0504144A"/>
    <w:rsid w:val="0515497D"/>
    <w:rsid w:val="051C6AF1"/>
    <w:rsid w:val="051E729A"/>
    <w:rsid w:val="055A1E59"/>
    <w:rsid w:val="055D4B0E"/>
    <w:rsid w:val="0574717F"/>
    <w:rsid w:val="05C37928"/>
    <w:rsid w:val="05DA2009"/>
    <w:rsid w:val="05F41565"/>
    <w:rsid w:val="060A068A"/>
    <w:rsid w:val="060D6412"/>
    <w:rsid w:val="06400C4E"/>
    <w:rsid w:val="06467CD9"/>
    <w:rsid w:val="065344DE"/>
    <w:rsid w:val="06721621"/>
    <w:rsid w:val="068218BB"/>
    <w:rsid w:val="06AD16A6"/>
    <w:rsid w:val="06C071A1"/>
    <w:rsid w:val="06CA7478"/>
    <w:rsid w:val="06D0743C"/>
    <w:rsid w:val="06DD0CD0"/>
    <w:rsid w:val="06DF1C54"/>
    <w:rsid w:val="0702568C"/>
    <w:rsid w:val="071C1AB9"/>
    <w:rsid w:val="076D4D3B"/>
    <w:rsid w:val="077E03E7"/>
    <w:rsid w:val="078F7797"/>
    <w:rsid w:val="07963981"/>
    <w:rsid w:val="079D330C"/>
    <w:rsid w:val="07C531CC"/>
    <w:rsid w:val="07C879D4"/>
    <w:rsid w:val="07D46850"/>
    <w:rsid w:val="07D67357"/>
    <w:rsid w:val="07E635E5"/>
    <w:rsid w:val="081C5FB8"/>
    <w:rsid w:val="082E7378"/>
    <w:rsid w:val="085C6740"/>
    <w:rsid w:val="08DA43AA"/>
    <w:rsid w:val="09227132"/>
    <w:rsid w:val="09247152"/>
    <w:rsid w:val="092A3D98"/>
    <w:rsid w:val="0979739A"/>
    <w:rsid w:val="09840E52"/>
    <w:rsid w:val="09B24F76"/>
    <w:rsid w:val="09B74C81"/>
    <w:rsid w:val="09C54755"/>
    <w:rsid w:val="09D51A6B"/>
    <w:rsid w:val="09E92ED1"/>
    <w:rsid w:val="0A241A31"/>
    <w:rsid w:val="0A3864D3"/>
    <w:rsid w:val="0A39196E"/>
    <w:rsid w:val="0A500B0C"/>
    <w:rsid w:val="0A600591"/>
    <w:rsid w:val="0A6B2D50"/>
    <w:rsid w:val="0A8F6EE2"/>
    <w:rsid w:val="0ABE498A"/>
    <w:rsid w:val="0ADB0F46"/>
    <w:rsid w:val="0B140A02"/>
    <w:rsid w:val="0B2C47E2"/>
    <w:rsid w:val="0B3404E4"/>
    <w:rsid w:val="0B3568A8"/>
    <w:rsid w:val="0B362B73"/>
    <w:rsid w:val="0B486311"/>
    <w:rsid w:val="0B5F234A"/>
    <w:rsid w:val="0B713A44"/>
    <w:rsid w:val="0B7CA64F"/>
    <w:rsid w:val="0B8E1003"/>
    <w:rsid w:val="0BD50ED5"/>
    <w:rsid w:val="0BE72997"/>
    <w:rsid w:val="0BEE6A9E"/>
    <w:rsid w:val="0BF928B1"/>
    <w:rsid w:val="0C26247C"/>
    <w:rsid w:val="0C2C4385"/>
    <w:rsid w:val="0C550884"/>
    <w:rsid w:val="0C9E6C42"/>
    <w:rsid w:val="0CA5404F"/>
    <w:rsid w:val="0CB3217A"/>
    <w:rsid w:val="0CBC0EE1"/>
    <w:rsid w:val="0CD7229F"/>
    <w:rsid w:val="0CF2414E"/>
    <w:rsid w:val="0D597375"/>
    <w:rsid w:val="0D5A6FF5"/>
    <w:rsid w:val="0D5D37FD"/>
    <w:rsid w:val="0D9229D2"/>
    <w:rsid w:val="0D9378B6"/>
    <w:rsid w:val="0D953957"/>
    <w:rsid w:val="0DCE6D9D"/>
    <w:rsid w:val="0DE916F2"/>
    <w:rsid w:val="0E222984"/>
    <w:rsid w:val="0E265444"/>
    <w:rsid w:val="0E2A1FC8"/>
    <w:rsid w:val="0E6162DD"/>
    <w:rsid w:val="0E7D5E53"/>
    <w:rsid w:val="0EA200C0"/>
    <w:rsid w:val="0EB73A86"/>
    <w:rsid w:val="0EB949B3"/>
    <w:rsid w:val="0F040E74"/>
    <w:rsid w:val="0F055463"/>
    <w:rsid w:val="0F162B4E"/>
    <w:rsid w:val="0F195C90"/>
    <w:rsid w:val="0F530435"/>
    <w:rsid w:val="0F812F2B"/>
    <w:rsid w:val="0FA44E1A"/>
    <w:rsid w:val="0FAC7CC2"/>
    <w:rsid w:val="0FBB3262"/>
    <w:rsid w:val="0FFDB50E"/>
    <w:rsid w:val="10036F54"/>
    <w:rsid w:val="102D3FF1"/>
    <w:rsid w:val="10386129"/>
    <w:rsid w:val="1066035B"/>
    <w:rsid w:val="10771491"/>
    <w:rsid w:val="108C1436"/>
    <w:rsid w:val="10A81C60"/>
    <w:rsid w:val="10B45ACE"/>
    <w:rsid w:val="10CE773A"/>
    <w:rsid w:val="11067CC5"/>
    <w:rsid w:val="110E14B5"/>
    <w:rsid w:val="114809B7"/>
    <w:rsid w:val="11794537"/>
    <w:rsid w:val="117D67C0"/>
    <w:rsid w:val="1186164E"/>
    <w:rsid w:val="1190415C"/>
    <w:rsid w:val="1194594F"/>
    <w:rsid w:val="11B25995"/>
    <w:rsid w:val="11F67383"/>
    <w:rsid w:val="11F736B2"/>
    <w:rsid w:val="11FA160D"/>
    <w:rsid w:val="12180BBD"/>
    <w:rsid w:val="12236F4E"/>
    <w:rsid w:val="123C58FA"/>
    <w:rsid w:val="123F687E"/>
    <w:rsid w:val="12527A9D"/>
    <w:rsid w:val="12712CC3"/>
    <w:rsid w:val="128D0B7C"/>
    <w:rsid w:val="128E4EE5"/>
    <w:rsid w:val="129627D2"/>
    <w:rsid w:val="129D4699"/>
    <w:rsid w:val="12F02E1F"/>
    <w:rsid w:val="12F572A6"/>
    <w:rsid w:val="1313037D"/>
    <w:rsid w:val="1329427D"/>
    <w:rsid w:val="133B7A1B"/>
    <w:rsid w:val="134A10B9"/>
    <w:rsid w:val="135C2DF9"/>
    <w:rsid w:val="13622204"/>
    <w:rsid w:val="137455F6"/>
    <w:rsid w:val="13765CAF"/>
    <w:rsid w:val="1381018F"/>
    <w:rsid w:val="138A0B9A"/>
    <w:rsid w:val="13916645"/>
    <w:rsid w:val="1399374C"/>
    <w:rsid w:val="13A1170E"/>
    <w:rsid w:val="13AC7923"/>
    <w:rsid w:val="13AE7D5A"/>
    <w:rsid w:val="13F75BCF"/>
    <w:rsid w:val="13FF2FDC"/>
    <w:rsid w:val="13FF7A53"/>
    <w:rsid w:val="14052967"/>
    <w:rsid w:val="143D6344"/>
    <w:rsid w:val="14414D3A"/>
    <w:rsid w:val="145F42FA"/>
    <w:rsid w:val="14AF1AFB"/>
    <w:rsid w:val="14BB6C12"/>
    <w:rsid w:val="14BB7880"/>
    <w:rsid w:val="14C00554"/>
    <w:rsid w:val="14CB3DD9"/>
    <w:rsid w:val="14DD044C"/>
    <w:rsid w:val="14DE264A"/>
    <w:rsid w:val="14E135FC"/>
    <w:rsid w:val="14EA3EDE"/>
    <w:rsid w:val="14FF2B7F"/>
    <w:rsid w:val="150D7916"/>
    <w:rsid w:val="15115C44"/>
    <w:rsid w:val="153A74E0"/>
    <w:rsid w:val="15437DF0"/>
    <w:rsid w:val="157F6950"/>
    <w:rsid w:val="15811E53"/>
    <w:rsid w:val="15A3368D"/>
    <w:rsid w:val="15C00A3E"/>
    <w:rsid w:val="15C64B46"/>
    <w:rsid w:val="15CD44D1"/>
    <w:rsid w:val="15D46829"/>
    <w:rsid w:val="16011866"/>
    <w:rsid w:val="162A0638"/>
    <w:rsid w:val="16504FF1"/>
    <w:rsid w:val="1662251B"/>
    <w:rsid w:val="168E458F"/>
    <w:rsid w:val="16DF6806"/>
    <w:rsid w:val="16F06BB2"/>
    <w:rsid w:val="16F91A40"/>
    <w:rsid w:val="1711024C"/>
    <w:rsid w:val="172A3039"/>
    <w:rsid w:val="17410382"/>
    <w:rsid w:val="17530E55"/>
    <w:rsid w:val="176C0F1B"/>
    <w:rsid w:val="17702983"/>
    <w:rsid w:val="1780739A"/>
    <w:rsid w:val="17D13D4E"/>
    <w:rsid w:val="17DE7734"/>
    <w:rsid w:val="17ED1F4D"/>
    <w:rsid w:val="17EF1AA7"/>
    <w:rsid w:val="18037974"/>
    <w:rsid w:val="18220228"/>
    <w:rsid w:val="18282132"/>
    <w:rsid w:val="18373D31"/>
    <w:rsid w:val="18585984"/>
    <w:rsid w:val="18742FB3"/>
    <w:rsid w:val="189D3000"/>
    <w:rsid w:val="18AF5EEB"/>
    <w:rsid w:val="18EA6F23"/>
    <w:rsid w:val="18EB43EE"/>
    <w:rsid w:val="18FE0E90"/>
    <w:rsid w:val="19027896"/>
    <w:rsid w:val="191C33F9"/>
    <w:rsid w:val="19430300"/>
    <w:rsid w:val="19434886"/>
    <w:rsid w:val="194E6691"/>
    <w:rsid w:val="195C3428"/>
    <w:rsid w:val="19956A85"/>
    <w:rsid w:val="19976E91"/>
    <w:rsid w:val="19B376BA"/>
    <w:rsid w:val="19C52E58"/>
    <w:rsid w:val="19F31E08"/>
    <w:rsid w:val="1A002777"/>
    <w:rsid w:val="1A0578BE"/>
    <w:rsid w:val="1A0A51CA"/>
    <w:rsid w:val="1A490389"/>
    <w:rsid w:val="1A5A1E87"/>
    <w:rsid w:val="1A640A2C"/>
    <w:rsid w:val="1A746473"/>
    <w:rsid w:val="1A841F91"/>
    <w:rsid w:val="1A8B5D85"/>
    <w:rsid w:val="1AB576B6"/>
    <w:rsid w:val="1AC75EFD"/>
    <w:rsid w:val="1AD47792"/>
    <w:rsid w:val="1AD5150D"/>
    <w:rsid w:val="1AF220BF"/>
    <w:rsid w:val="1AFF312F"/>
    <w:rsid w:val="1B045D62"/>
    <w:rsid w:val="1B073269"/>
    <w:rsid w:val="1B340AB0"/>
    <w:rsid w:val="1B3D7F77"/>
    <w:rsid w:val="1B4F12C0"/>
    <w:rsid w:val="1B5C60F1"/>
    <w:rsid w:val="1B7D0B2E"/>
    <w:rsid w:val="1BBB4BA7"/>
    <w:rsid w:val="1BC81072"/>
    <w:rsid w:val="1BF7F94F"/>
    <w:rsid w:val="1BF84FD3"/>
    <w:rsid w:val="1BF92EB9"/>
    <w:rsid w:val="1C044DC3"/>
    <w:rsid w:val="1C251A7E"/>
    <w:rsid w:val="1C407B50"/>
    <w:rsid w:val="1C4C57B8"/>
    <w:rsid w:val="1C621297"/>
    <w:rsid w:val="1C6434E0"/>
    <w:rsid w:val="1C7F3050"/>
    <w:rsid w:val="1C7F30F0"/>
    <w:rsid w:val="1CB57CA7"/>
    <w:rsid w:val="1CCC6A3F"/>
    <w:rsid w:val="1CEF6B87"/>
    <w:rsid w:val="1D053135"/>
    <w:rsid w:val="1D3F4403"/>
    <w:rsid w:val="1D4A3A1E"/>
    <w:rsid w:val="1D943902"/>
    <w:rsid w:val="1D9456B0"/>
    <w:rsid w:val="1DF8703A"/>
    <w:rsid w:val="1DF93CE5"/>
    <w:rsid w:val="1E110AAE"/>
    <w:rsid w:val="1E15696A"/>
    <w:rsid w:val="1E6F5D7F"/>
    <w:rsid w:val="1EDB09B6"/>
    <w:rsid w:val="1EE945C8"/>
    <w:rsid w:val="1F241B75"/>
    <w:rsid w:val="1F4934E4"/>
    <w:rsid w:val="1F4F26CA"/>
    <w:rsid w:val="1FCD7EB9"/>
    <w:rsid w:val="1FD06C40"/>
    <w:rsid w:val="1FE25726"/>
    <w:rsid w:val="1FF12920"/>
    <w:rsid w:val="1FFF1361"/>
    <w:rsid w:val="1FFFC9E0"/>
    <w:rsid w:val="201560AF"/>
    <w:rsid w:val="201F2242"/>
    <w:rsid w:val="20210D51"/>
    <w:rsid w:val="20286627"/>
    <w:rsid w:val="202F24DC"/>
    <w:rsid w:val="202F6C59"/>
    <w:rsid w:val="20385205"/>
    <w:rsid w:val="20555B41"/>
    <w:rsid w:val="206F2B76"/>
    <w:rsid w:val="20702F46"/>
    <w:rsid w:val="208A4B48"/>
    <w:rsid w:val="20982E05"/>
    <w:rsid w:val="20983709"/>
    <w:rsid w:val="20A26336"/>
    <w:rsid w:val="20E40064"/>
    <w:rsid w:val="20FA2EAA"/>
    <w:rsid w:val="211514D5"/>
    <w:rsid w:val="21330A85"/>
    <w:rsid w:val="21567FCD"/>
    <w:rsid w:val="216E4288"/>
    <w:rsid w:val="216F7773"/>
    <w:rsid w:val="21AB53E3"/>
    <w:rsid w:val="21E111C9"/>
    <w:rsid w:val="221B6805"/>
    <w:rsid w:val="2222290C"/>
    <w:rsid w:val="2228045E"/>
    <w:rsid w:val="225560CF"/>
    <w:rsid w:val="226C530A"/>
    <w:rsid w:val="22711EB5"/>
    <w:rsid w:val="22715F0F"/>
    <w:rsid w:val="228D2913"/>
    <w:rsid w:val="22AA736D"/>
    <w:rsid w:val="22AC0852"/>
    <w:rsid w:val="22AE7F72"/>
    <w:rsid w:val="22F51F21"/>
    <w:rsid w:val="22FD1376"/>
    <w:rsid w:val="23077707"/>
    <w:rsid w:val="230A1F70"/>
    <w:rsid w:val="230B7E92"/>
    <w:rsid w:val="23110016"/>
    <w:rsid w:val="231B63A7"/>
    <w:rsid w:val="234052E2"/>
    <w:rsid w:val="2342170A"/>
    <w:rsid w:val="235B2E3C"/>
    <w:rsid w:val="236E03B0"/>
    <w:rsid w:val="23D031BA"/>
    <w:rsid w:val="23D83E1C"/>
    <w:rsid w:val="24251351"/>
    <w:rsid w:val="24673B7E"/>
    <w:rsid w:val="248E6289"/>
    <w:rsid w:val="24962CBD"/>
    <w:rsid w:val="249C779D"/>
    <w:rsid w:val="249F0722"/>
    <w:rsid w:val="24BE0FD7"/>
    <w:rsid w:val="24CC107A"/>
    <w:rsid w:val="24D65DED"/>
    <w:rsid w:val="24D740FF"/>
    <w:rsid w:val="25115838"/>
    <w:rsid w:val="252B7903"/>
    <w:rsid w:val="25614063"/>
    <w:rsid w:val="2584425C"/>
    <w:rsid w:val="259B2F43"/>
    <w:rsid w:val="25AA1ED9"/>
    <w:rsid w:val="25B11864"/>
    <w:rsid w:val="25B427E8"/>
    <w:rsid w:val="25C84D0C"/>
    <w:rsid w:val="25D14317"/>
    <w:rsid w:val="260809E9"/>
    <w:rsid w:val="26222E1C"/>
    <w:rsid w:val="2647305C"/>
    <w:rsid w:val="268923F0"/>
    <w:rsid w:val="26A8437A"/>
    <w:rsid w:val="26BB210A"/>
    <w:rsid w:val="26C05DD9"/>
    <w:rsid w:val="26C2328E"/>
    <w:rsid w:val="26D134D1"/>
    <w:rsid w:val="26D66D39"/>
    <w:rsid w:val="272F025B"/>
    <w:rsid w:val="27386650"/>
    <w:rsid w:val="273E5401"/>
    <w:rsid w:val="27551F14"/>
    <w:rsid w:val="27623104"/>
    <w:rsid w:val="27631D03"/>
    <w:rsid w:val="27667C30"/>
    <w:rsid w:val="278D013A"/>
    <w:rsid w:val="27AA2CA3"/>
    <w:rsid w:val="27AA7420"/>
    <w:rsid w:val="27B222AE"/>
    <w:rsid w:val="27C85293"/>
    <w:rsid w:val="27D227A8"/>
    <w:rsid w:val="282633A8"/>
    <w:rsid w:val="28316A25"/>
    <w:rsid w:val="28362887"/>
    <w:rsid w:val="284137DE"/>
    <w:rsid w:val="286F54E3"/>
    <w:rsid w:val="28BC0562"/>
    <w:rsid w:val="28E236FB"/>
    <w:rsid w:val="29171B75"/>
    <w:rsid w:val="29200286"/>
    <w:rsid w:val="293E740F"/>
    <w:rsid w:val="296D0386"/>
    <w:rsid w:val="297D0620"/>
    <w:rsid w:val="29C236CA"/>
    <w:rsid w:val="2A062B02"/>
    <w:rsid w:val="2A127F37"/>
    <w:rsid w:val="2A3F3743"/>
    <w:rsid w:val="2A496A6F"/>
    <w:rsid w:val="2A587A65"/>
    <w:rsid w:val="2A65091E"/>
    <w:rsid w:val="2A7121B2"/>
    <w:rsid w:val="2A722207"/>
    <w:rsid w:val="2A754818"/>
    <w:rsid w:val="2A781B3D"/>
    <w:rsid w:val="2A850E52"/>
    <w:rsid w:val="2AA03BFA"/>
    <w:rsid w:val="2AE311EC"/>
    <w:rsid w:val="2AFE685E"/>
    <w:rsid w:val="2B1E7D4C"/>
    <w:rsid w:val="2B2DE739"/>
    <w:rsid w:val="2B477FDA"/>
    <w:rsid w:val="2B57FB56"/>
    <w:rsid w:val="2B5B432E"/>
    <w:rsid w:val="2B6C5576"/>
    <w:rsid w:val="2B7A76B7"/>
    <w:rsid w:val="2B960C8F"/>
    <w:rsid w:val="2B9F159F"/>
    <w:rsid w:val="2BB45586"/>
    <w:rsid w:val="2BBA512F"/>
    <w:rsid w:val="2BBA59CC"/>
    <w:rsid w:val="2BD25271"/>
    <w:rsid w:val="2BF21C38"/>
    <w:rsid w:val="2BFAA5B1"/>
    <w:rsid w:val="2BFD819F"/>
    <w:rsid w:val="2C1602E4"/>
    <w:rsid w:val="2C4B6E77"/>
    <w:rsid w:val="2C5C450B"/>
    <w:rsid w:val="2C60519B"/>
    <w:rsid w:val="2C9034E6"/>
    <w:rsid w:val="2C9143AA"/>
    <w:rsid w:val="2C9640B5"/>
    <w:rsid w:val="2CAF50E9"/>
    <w:rsid w:val="2CCE40A4"/>
    <w:rsid w:val="2CD21D51"/>
    <w:rsid w:val="2CDB1327"/>
    <w:rsid w:val="2D1F177D"/>
    <w:rsid w:val="2D254C1E"/>
    <w:rsid w:val="2D3E57C8"/>
    <w:rsid w:val="2D4B28DF"/>
    <w:rsid w:val="2D893852"/>
    <w:rsid w:val="2D981360"/>
    <w:rsid w:val="2D9C5B61"/>
    <w:rsid w:val="2DA569A9"/>
    <w:rsid w:val="2DA82AB1"/>
    <w:rsid w:val="2DAF2604"/>
    <w:rsid w:val="2DAF6D80"/>
    <w:rsid w:val="2DB55DF1"/>
    <w:rsid w:val="2DB63A52"/>
    <w:rsid w:val="2DCA53AC"/>
    <w:rsid w:val="2DD072B5"/>
    <w:rsid w:val="2E0E4B9C"/>
    <w:rsid w:val="2E151FA8"/>
    <w:rsid w:val="2E354A5B"/>
    <w:rsid w:val="2E7556B0"/>
    <w:rsid w:val="2E855ADF"/>
    <w:rsid w:val="2E866DE4"/>
    <w:rsid w:val="2E901D6C"/>
    <w:rsid w:val="2EA53E15"/>
    <w:rsid w:val="2EB55486"/>
    <w:rsid w:val="2EC17EC2"/>
    <w:rsid w:val="2EC45FF2"/>
    <w:rsid w:val="2EDD77F3"/>
    <w:rsid w:val="2EFD44A4"/>
    <w:rsid w:val="2F10090E"/>
    <w:rsid w:val="2F1156C3"/>
    <w:rsid w:val="2F69589E"/>
    <w:rsid w:val="2F835A02"/>
    <w:rsid w:val="2F9FBBB2"/>
    <w:rsid w:val="2FCD2333"/>
    <w:rsid w:val="2FDE4B23"/>
    <w:rsid w:val="2FEA0C29"/>
    <w:rsid w:val="2FED1C7C"/>
    <w:rsid w:val="2FF98C75"/>
    <w:rsid w:val="300246FB"/>
    <w:rsid w:val="30357A24"/>
    <w:rsid w:val="30383F84"/>
    <w:rsid w:val="30424B3B"/>
    <w:rsid w:val="30506CF2"/>
    <w:rsid w:val="30684D7B"/>
    <w:rsid w:val="30D269A9"/>
    <w:rsid w:val="30DB1837"/>
    <w:rsid w:val="30DF6B19"/>
    <w:rsid w:val="30EB3594"/>
    <w:rsid w:val="30F80DE7"/>
    <w:rsid w:val="310821E5"/>
    <w:rsid w:val="3115220C"/>
    <w:rsid w:val="313F059A"/>
    <w:rsid w:val="315D0B0B"/>
    <w:rsid w:val="31631BF8"/>
    <w:rsid w:val="316F64A7"/>
    <w:rsid w:val="3198766B"/>
    <w:rsid w:val="31A17C21"/>
    <w:rsid w:val="31BE4028"/>
    <w:rsid w:val="31C74937"/>
    <w:rsid w:val="31CD5838"/>
    <w:rsid w:val="31DE235E"/>
    <w:rsid w:val="32024B1C"/>
    <w:rsid w:val="321E0BC9"/>
    <w:rsid w:val="322762E9"/>
    <w:rsid w:val="323E367C"/>
    <w:rsid w:val="32771258"/>
    <w:rsid w:val="327A2C6E"/>
    <w:rsid w:val="32961B0D"/>
    <w:rsid w:val="32990513"/>
    <w:rsid w:val="32A04918"/>
    <w:rsid w:val="32CB4565"/>
    <w:rsid w:val="32FD40D4"/>
    <w:rsid w:val="32FE2435"/>
    <w:rsid w:val="330630C5"/>
    <w:rsid w:val="330D2A50"/>
    <w:rsid w:val="332C7A82"/>
    <w:rsid w:val="334B0336"/>
    <w:rsid w:val="334C7FB6"/>
    <w:rsid w:val="335331C4"/>
    <w:rsid w:val="33537941"/>
    <w:rsid w:val="337E7FA3"/>
    <w:rsid w:val="338F1D24"/>
    <w:rsid w:val="33A806D0"/>
    <w:rsid w:val="33AB5DD1"/>
    <w:rsid w:val="33F85ED1"/>
    <w:rsid w:val="341D6954"/>
    <w:rsid w:val="34303397"/>
    <w:rsid w:val="345E10F8"/>
    <w:rsid w:val="34666505"/>
    <w:rsid w:val="347B0F20"/>
    <w:rsid w:val="34863828"/>
    <w:rsid w:val="34866A02"/>
    <w:rsid w:val="34933B51"/>
    <w:rsid w:val="34B36604"/>
    <w:rsid w:val="34BF2BBB"/>
    <w:rsid w:val="34C44C99"/>
    <w:rsid w:val="34C53F49"/>
    <w:rsid w:val="34C62E2B"/>
    <w:rsid w:val="34F860CC"/>
    <w:rsid w:val="35121EA0"/>
    <w:rsid w:val="358B0CEF"/>
    <w:rsid w:val="358C64DF"/>
    <w:rsid w:val="35925C72"/>
    <w:rsid w:val="35BD581E"/>
    <w:rsid w:val="35E34777"/>
    <w:rsid w:val="35E82FCB"/>
    <w:rsid w:val="35EDE1E1"/>
    <w:rsid w:val="35F362BC"/>
    <w:rsid w:val="362A70EA"/>
    <w:rsid w:val="362E5AF0"/>
    <w:rsid w:val="36306FE4"/>
    <w:rsid w:val="363E0309"/>
    <w:rsid w:val="36626B74"/>
    <w:rsid w:val="366B3D64"/>
    <w:rsid w:val="36820DFD"/>
    <w:rsid w:val="36A2002D"/>
    <w:rsid w:val="36E13395"/>
    <w:rsid w:val="36F47E38"/>
    <w:rsid w:val="370E7E29"/>
    <w:rsid w:val="37134E69"/>
    <w:rsid w:val="37266088"/>
    <w:rsid w:val="372D1296"/>
    <w:rsid w:val="372E6174"/>
    <w:rsid w:val="373A0C1E"/>
    <w:rsid w:val="374E6478"/>
    <w:rsid w:val="37554E24"/>
    <w:rsid w:val="375B3CFA"/>
    <w:rsid w:val="3775CDE8"/>
    <w:rsid w:val="3778260F"/>
    <w:rsid w:val="377A5B12"/>
    <w:rsid w:val="37D02C9E"/>
    <w:rsid w:val="37F457DC"/>
    <w:rsid w:val="37F7ED32"/>
    <w:rsid w:val="37FA18E4"/>
    <w:rsid w:val="37FD60EC"/>
    <w:rsid w:val="383C5DD6"/>
    <w:rsid w:val="3842555B"/>
    <w:rsid w:val="385F75B5"/>
    <w:rsid w:val="387168C2"/>
    <w:rsid w:val="387F137F"/>
    <w:rsid w:val="389B12BB"/>
    <w:rsid w:val="38A5656B"/>
    <w:rsid w:val="38BF4014"/>
    <w:rsid w:val="38E008DD"/>
    <w:rsid w:val="38E472E3"/>
    <w:rsid w:val="39034314"/>
    <w:rsid w:val="39072D82"/>
    <w:rsid w:val="39077AB3"/>
    <w:rsid w:val="39217148"/>
    <w:rsid w:val="39284554"/>
    <w:rsid w:val="3929719C"/>
    <w:rsid w:val="394A5DA7"/>
    <w:rsid w:val="395E11AB"/>
    <w:rsid w:val="396F4CC8"/>
    <w:rsid w:val="397D5E61"/>
    <w:rsid w:val="39B76CAB"/>
    <w:rsid w:val="39B8407C"/>
    <w:rsid w:val="39C51E54"/>
    <w:rsid w:val="3A2E3E02"/>
    <w:rsid w:val="3A2E433E"/>
    <w:rsid w:val="3A304B23"/>
    <w:rsid w:val="3A3F3597"/>
    <w:rsid w:val="3A736AF5"/>
    <w:rsid w:val="3A875795"/>
    <w:rsid w:val="3A8E189D"/>
    <w:rsid w:val="3A923F2D"/>
    <w:rsid w:val="3A977FAE"/>
    <w:rsid w:val="3A9D40B6"/>
    <w:rsid w:val="3A9E24F7"/>
    <w:rsid w:val="3AA34D2C"/>
    <w:rsid w:val="3AB67027"/>
    <w:rsid w:val="3ACF3461"/>
    <w:rsid w:val="3AE635B0"/>
    <w:rsid w:val="3B271EF7"/>
    <w:rsid w:val="3B9A4359"/>
    <w:rsid w:val="3BA5016B"/>
    <w:rsid w:val="3BDBB84D"/>
    <w:rsid w:val="3BDFCBBD"/>
    <w:rsid w:val="3BEF1864"/>
    <w:rsid w:val="3BEF3A34"/>
    <w:rsid w:val="3BF746F2"/>
    <w:rsid w:val="3BFDD9FE"/>
    <w:rsid w:val="3BFF7132"/>
    <w:rsid w:val="3C076F0B"/>
    <w:rsid w:val="3C417FEA"/>
    <w:rsid w:val="3C477313"/>
    <w:rsid w:val="3C6F7F74"/>
    <w:rsid w:val="3C7A3BE4"/>
    <w:rsid w:val="3C8B38E1"/>
    <w:rsid w:val="3C9035EC"/>
    <w:rsid w:val="3C9A0678"/>
    <w:rsid w:val="3CC10148"/>
    <w:rsid w:val="3CCA2A44"/>
    <w:rsid w:val="3CE31D71"/>
    <w:rsid w:val="3D0535AB"/>
    <w:rsid w:val="3D1F0E24"/>
    <w:rsid w:val="3D2129E5"/>
    <w:rsid w:val="3D332DF5"/>
    <w:rsid w:val="3D3B3A85"/>
    <w:rsid w:val="3D4F68C0"/>
    <w:rsid w:val="3D68584E"/>
    <w:rsid w:val="3D7A3F55"/>
    <w:rsid w:val="3D7F0827"/>
    <w:rsid w:val="3D90570D"/>
    <w:rsid w:val="3D907D5B"/>
    <w:rsid w:val="3DB70B4F"/>
    <w:rsid w:val="3DCF21D7"/>
    <w:rsid w:val="3DFFC308"/>
    <w:rsid w:val="3E0D055A"/>
    <w:rsid w:val="3E214C49"/>
    <w:rsid w:val="3E235F81"/>
    <w:rsid w:val="3E286B85"/>
    <w:rsid w:val="3E596F1A"/>
    <w:rsid w:val="3E5B4CE9"/>
    <w:rsid w:val="3E678AF4"/>
    <w:rsid w:val="3E744A86"/>
    <w:rsid w:val="3E8C212D"/>
    <w:rsid w:val="3E9C23C7"/>
    <w:rsid w:val="3EAC501E"/>
    <w:rsid w:val="3EDF139D"/>
    <w:rsid w:val="3EE30D3D"/>
    <w:rsid w:val="3EF04FC6"/>
    <w:rsid w:val="3EF63D5B"/>
    <w:rsid w:val="3EFC5C64"/>
    <w:rsid w:val="3EFC7B29"/>
    <w:rsid w:val="3EFD9381"/>
    <w:rsid w:val="3F2D193E"/>
    <w:rsid w:val="3F3F1495"/>
    <w:rsid w:val="3F4F7231"/>
    <w:rsid w:val="3F5FBB42"/>
    <w:rsid w:val="3F7FD494"/>
    <w:rsid w:val="3F865BC8"/>
    <w:rsid w:val="3F9D57ED"/>
    <w:rsid w:val="3FB47D1B"/>
    <w:rsid w:val="3FB67824"/>
    <w:rsid w:val="3FBF6165"/>
    <w:rsid w:val="3FD9290A"/>
    <w:rsid w:val="3FDFC003"/>
    <w:rsid w:val="3FEE934D"/>
    <w:rsid w:val="4007741B"/>
    <w:rsid w:val="406311E6"/>
    <w:rsid w:val="406A16BE"/>
    <w:rsid w:val="406E00C4"/>
    <w:rsid w:val="407F255D"/>
    <w:rsid w:val="4083017C"/>
    <w:rsid w:val="4090365D"/>
    <w:rsid w:val="40AF0B2D"/>
    <w:rsid w:val="40E97A0E"/>
    <w:rsid w:val="41251DF1"/>
    <w:rsid w:val="4143359F"/>
    <w:rsid w:val="4155012C"/>
    <w:rsid w:val="415D1BD0"/>
    <w:rsid w:val="415D1F4B"/>
    <w:rsid w:val="417A14FB"/>
    <w:rsid w:val="417F12FE"/>
    <w:rsid w:val="417F4209"/>
    <w:rsid w:val="41870F55"/>
    <w:rsid w:val="418A7FA5"/>
    <w:rsid w:val="418F3A1F"/>
    <w:rsid w:val="41A65107"/>
    <w:rsid w:val="41A70341"/>
    <w:rsid w:val="41C660F7"/>
    <w:rsid w:val="41CA257F"/>
    <w:rsid w:val="41D42E8E"/>
    <w:rsid w:val="41DF2AEE"/>
    <w:rsid w:val="41EE3A38"/>
    <w:rsid w:val="420B3587"/>
    <w:rsid w:val="420F3F6D"/>
    <w:rsid w:val="421878F9"/>
    <w:rsid w:val="42441E6A"/>
    <w:rsid w:val="424D72D5"/>
    <w:rsid w:val="42780119"/>
    <w:rsid w:val="42D51848"/>
    <w:rsid w:val="42D96EB9"/>
    <w:rsid w:val="42F02361"/>
    <w:rsid w:val="43056A83"/>
    <w:rsid w:val="43191643"/>
    <w:rsid w:val="43210932"/>
    <w:rsid w:val="432C4745"/>
    <w:rsid w:val="433B4DC7"/>
    <w:rsid w:val="434B7D0F"/>
    <w:rsid w:val="435C6F7A"/>
    <w:rsid w:val="436F1C50"/>
    <w:rsid w:val="43D922DF"/>
    <w:rsid w:val="43DE6767"/>
    <w:rsid w:val="43FF6FFE"/>
    <w:rsid w:val="441F24BA"/>
    <w:rsid w:val="44605D8A"/>
    <w:rsid w:val="44731607"/>
    <w:rsid w:val="44834CF6"/>
    <w:rsid w:val="449A1098"/>
    <w:rsid w:val="449F0DA3"/>
    <w:rsid w:val="44A97134"/>
    <w:rsid w:val="44AA4BB6"/>
    <w:rsid w:val="44CC1E84"/>
    <w:rsid w:val="451C47A1"/>
    <w:rsid w:val="452458BF"/>
    <w:rsid w:val="453F62F2"/>
    <w:rsid w:val="454A7DC0"/>
    <w:rsid w:val="455517CB"/>
    <w:rsid w:val="45845B9E"/>
    <w:rsid w:val="45A33279"/>
    <w:rsid w:val="45A60739"/>
    <w:rsid w:val="45C21DFF"/>
    <w:rsid w:val="45D4339E"/>
    <w:rsid w:val="45E97AC0"/>
    <w:rsid w:val="45FF5EF8"/>
    <w:rsid w:val="46484C24"/>
    <w:rsid w:val="464F2CE8"/>
    <w:rsid w:val="46565EF6"/>
    <w:rsid w:val="467648DE"/>
    <w:rsid w:val="4699638D"/>
    <w:rsid w:val="46A7677A"/>
    <w:rsid w:val="46DF4B55"/>
    <w:rsid w:val="46F41277"/>
    <w:rsid w:val="47064A15"/>
    <w:rsid w:val="47554794"/>
    <w:rsid w:val="477FCE51"/>
    <w:rsid w:val="478607E6"/>
    <w:rsid w:val="47881532"/>
    <w:rsid w:val="478E5BF3"/>
    <w:rsid w:val="4797283C"/>
    <w:rsid w:val="47F819F0"/>
    <w:rsid w:val="48082673"/>
    <w:rsid w:val="480F2CC9"/>
    <w:rsid w:val="484F5A4A"/>
    <w:rsid w:val="485175C4"/>
    <w:rsid w:val="488E3597"/>
    <w:rsid w:val="48981928"/>
    <w:rsid w:val="48C76BF4"/>
    <w:rsid w:val="48D346E2"/>
    <w:rsid w:val="48D662CD"/>
    <w:rsid w:val="48FB6342"/>
    <w:rsid w:val="49316623"/>
    <w:rsid w:val="49640A27"/>
    <w:rsid w:val="498A02D6"/>
    <w:rsid w:val="49996252"/>
    <w:rsid w:val="49A607E1"/>
    <w:rsid w:val="49AE366E"/>
    <w:rsid w:val="49BC2984"/>
    <w:rsid w:val="49BF3909"/>
    <w:rsid w:val="49C5081B"/>
    <w:rsid w:val="49F805EB"/>
    <w:rsid w:val="4A007BF5"/>
    <w:rsid w:val="4A077580"/>
    <w:rsid w:val="4A0D4D0D"/>
    <w:rsid w:val="4A8E46B4"/>
    <w:rsid w:val="4AA97595"/>
    <w:rsid w:val="4ACF1226"/>
    <w:rsid w:val="4AD27813"/>
    <w:rsid w:val="4ADA4AE3"/>
    <w:rsid w:val="4ADD7DE7"/>
    <w:rsid w:val="4AFB1656"/>
    <w:rsid w:val="4B245EF1"/>
    <w:rsid w:val="4B473790"/>
    <w:rsid w:val="4B5D2A6C"/>
    <w:rsid w:val="4B671FA9"/>
    <w:rsid w:val="4B835B73"/>
    <w:rsid w:val="4B94000C"/>
    <w:rsid w:val="4BA93446"/>
    <w:rsid w:val="4BA9472E"/>
    <w:rsid w:val="4BEE5222"/>
    <w:rsid w:val="4BF6262F"/>
    <w:rsid w:val="4C4A42B7"/>
    <w:rsid w:val="4C537145"/>
    <w:rsid w:val="4C67432B"/>
    <w:rsid w:val="4CA45C4B"/>
    <w:rsid w:val="4CA66F2F"/>
    <w:rsid w:val="4CC74F06"/>
    <w:rsid w:val="4CD20D18"/>
    <w:rsid w:val="4D154C85"/>
    <w:rsid w:val="4D241A1C"/>
    <w:rsid w:val="4D5015E7"/>
    <w:rsid w:val="4D624D84"/>
    <w:rsid w:val="4D6307CA"/>
    <w:rsid w:val="4DA335EF"/>
    <w:rsid w:val="4DA37D6C"/>
    <w:rsid w:val="4DA929B3"/>
    <w:rsid w:val="4DBD0916"/>
    <w:rsid w:val="4DD3102D"/>
    <w:rsid w:val="4DDF7748"/>
    <w:rsid w:val="4DE416CE"/>
    <w:rsid w:val="4E1E3790"/>
    <w:rsid w:val="4E1F5826"/>
    <w:rsid w:val="4E217FEA"/>
    <w:rsid w:val="4E4021CE"/>
    <w:rsid w:val="4E6D1482"/>
    <w:rsid w:val="4E6F61BB"/>
    <w:rsid w:val="4E7A7DCF"/>
    <w:rsid w:val="4E8A1546"/>
    <w:rsid w:val="4E98737F"/>
    <w:rsid w:val="4EB06AAE"/>
    <w:rsid w:val="4EB45A8C"/>
    <w:rsid w:val="4EBE17BD"/>
    <w:rsid w:val="4EBF723F"/>
    <w:rsid w:val="4EE6725C"/>
    <w:rsid w:val="4EF393CB"/>
    <w:rsid w:val="4F020FAD"/>
    <w:rsid w:val="4F1634D1"/>
    <w:rsid w:val="4F553ABF"/>
    <w:rsid w:val="4F594D11"/>
    <w:rsid w:val="4F912E1A"/>
    <w:rsid w:val="4F927703"/>
    <w:rsid w:val="4FBE099E"/>
    <w:rsid w:val="4FFFE641"/>
    <w:rsid w:val="500243D3"/>
    <w:rsid w:val="50151D6F"/>
    <w:rsid w:val="501800C1"/>
    <w:rsid w:val="501D717B"/>
    <w:rsid w:val="503E2F33"/>
    <w:rsid w:val="505B24E3"/>
    <w:rsid w:val="50671B79"/>
    <w:rsid w:val="508436A7"/>
    <w:rsid w:val="508825A3"/>
    <w:rsid w:val="5099245F"/>
    <w:rsid w:val="50BD4B06"/>
    <w:rsid w:val="50C35389"/>
    <w:rsid w:val="50EE68B6"/>
    <w:rsid w:val="50FA6B69"/>
    <w:rsid w:val="51051C13"/>
    <w:rsid w:val="510D11EE"/>
    <w:rsid w:val="5110328B"/>
    <w:rsid w:val="51206DA9"/>
    <w:rsid w:val="51441B43"/>
    <w:rsid w:val="514B3093"/>
    <w:rsid w:val="515379E3"/>
    <w:rsid w:val="51555F7E"/>
    <w:rsid w:val="51AC0B8B"/>
    <w:rsid w:val="51BC4730"/>
    <w:rsid w:val="51D75253"/>
    <w:rsid w:val="52411602"/>
    <w:rsid w:val="525748A7"/>
    <w:rsid w:val="52763F37"/>
    <w:rsid w:val="527F192D"/>
    <w:rsid w:val="52A04C14"/>
    <w:rsid w:val="52A14808"/>
    <w:rsid w:val="52A56BA5"/>
    <w:rsid w:val="52BE9B9C"/>
    <w:rsid w:val="52CE1F68"/>
    <w:rsid w:val="52F1442F"/>
    <w:rsid w:val="530879CB"/>
    <w:rsid w:val="53376114"/>
    <w:rsid w:val="534C3D5B"/>
    <w:rsid w:val="538F1879"/>
    <w:rsid w:val="539442AF"/>
    <w:rsid w:val="539564AD"/>
    <w:rsid w:val="53A5780B"/>
    <w:rsid w:val="53B65B3D"/>
    <w:rsid w:val="53BF1AC3"/>
    <w:rsid w:val="53DD7F26"/>
    <w:rsid w:val="53E3402E"/>
    <w:rsid w:val="53ED01C1"/>
    <w:rsid w:val="53F24649"/>
    <w:rsid w:val="54183203"/>
    <w:rsid w:val="543C4809"/>
    <w:rsid w:val="543C7F40"/>
    <w:rsid w:val="54560F34"/>
    <w:rsid w:val="5457656B"/>
    <w:rsid w:val="545974F0"/>
    <w:rsid w:val="547D3FA3"/>
    <w:rsid w:val="54BC3D11"/>
    <w:rsid w:val="54CA432C"/>
    <w:rsid w:val="54D20290"/>
    <w:rsid w:val="54EE6CEE"/>
    <w:rsid w:val="54FD5816"/>
    <w:rsid w:val="552044B6"/>
    <w:rsid w:val="552733C1"/>
    <w:rsid w:val="55276C44"/>
    <w:rsid w:val="552902B7"/>
    <w:rsid w:val="55315127"/>
    <w:rsid w:val="55365BD9"/>
    <w:rsid w:val="554219EC"/>
    <w:rsid w:val="55577291"/>
    <w:rsid w:val="557B66CE"/>
    <w:rsid w:val="55914FEE"/>
    <w:rsid w:val="559823FB"/>
    <w:rsid w:val="55A56E04"/>
    <w:rsid w:val="55B331F6"/>
    <w:rsid w:val="55C44376"/>
    <w:rsid w:val="55C92CD6"/>
    <w:rsid w:val="55D81035"/>
    <w:rsid w:val="55DF4A23"/>
    <w:rsid w:val="55F900E4"/>
    <w:rsid w:val="560325F1"/>
    <w:rsid w:val="562154CF"/>
    <w:rsid w:val="5622235F"/>
    <w:rsid w:val="563325F9"/>
    <w:rsid w:val="564032B2"/>
    <w:rsid w:val="564A221E"/>
    <w:rsid w:val="56594A37"/>
    <w:rsid w:val="56715961"/>
    <w:rsid w:val="56BA722E"/>
    <w:rsid w:val="56E7726A"/>
    <w:rsid w:val="57471CB2"/>
    <w:rsid w:val="57493801"/>
    <w:rsid w:val="574A5644"/>
    <w:rsid w:val="575304D2"/>
    <w:rsid w:val="576F457F"/>
    <w:rsid w:val="57753EA4"/>
    <w:rsid w:val="57765010"/>
    <w:rsid w:val="57780712"/>
    <w:rsid w:val="577B63C3"/>
    <w:rsid w:val="577DE2F0"/>
    <w:rsid w:val="578E43CF"/>
    <w:rsid w:val="57986012"/>
    <w:rsid w:val="57AF1BC4"/>
    <w:rsid w:val="57BB9B6A"/>
    <w:rsid w:val="57D75E8E"/>
    <w:rsid w:val="57F13854"/>
    <w:rsid w:val="57FFD3FB"/>
    <w:rsid w:val="580C7901"/>
    <w:rsid w:val="58156012"/>
    <w:rsid w:val="58523BC2"/>
    <w:rsid w:val="58633EE9"/>
    <w:rsid w:val="58661294"/>
    <w:rsid w:val="58C35115"/>
    <w:rsid w:val="58CA0FB8"/>
    <w:rsid w:val="58CE3242"/>
    <w:rsid w:val="58DF61A3"/>
    <w:rsid w:val="58FB69E1"/>
    <w:rsid w:val="591D2FC1"/>
    <w:rsid w:val="59234ECA"/>
    <w:rsid w:val="592F2626"/>
    <w:rsid w:val="59544B9F"/>
    <w:rsid w:val="598A13F7"/>
    <w:rsid w:val="59951986"/>
    <w:rsid w:val="59A85123"/>
    <w:rsid w:val="59AC06E9"/>
    <w:rsid w:val="59B94C3D"/>
    <w:rsid w:val="59BE2B4A"/>
    <w:rsid w:val="59C20EFA"/>
    <w:rsid w:val="59CA6813"/>
    <w:rsid w:val="59FA51BB"/>
    <w:rsid w:val="59FC0431"/>
    <w:rsid w:val="5A031FBA"/>
    <w:rsid w:val="5A054C64"/>
    <w:rsid w:val="5A0A1945"/>
    <w:rsid w:val="5A153559"/>
    <w:rsid w:val="5A1D5915"/>
    <w:rsid w:val="5A21620B"/>
    <w:rsid w:val="5A3375EE"/>
    <w:rsid w:val="5A7E2F2F"/>
    <w:rsid w:val="5A93401E"/>
    <w:rsid w:val="5A9A37B2"/>
    <w:rsid w:val="5AAE5CD6"/>
    <w:rsid w:val="5AB20C5B"/>
    <w:rsid w:val="5ABB756A"/>
    <w:rsid w:val="5AD114C7"/>
    <w:rsid w:val="5AF815CD"/>
    <w:rsid w:val="5B270C3A"/>
    <w:rsid w:val="5B3D683F"/>
    <w:rsid w:val="5B4230FB"/>
    <w:rsid w:val="5B547C51"/>
    <w:rsid w:val="5B547F25"/>
    <w:rsid w:val="5B74EAA7"/>
    <w:rsid w:val="5B913432"/>
    <w:rsid w:val="5BB82905"/>
    <w:rsid w:val="5BCD153A"/>
    <w:rsid w:val="5BE1154B"/>
    <w:rsid w:val="5BFE7729"/>
    <w:rsid w:val="5C017881"/>
    <w:rsid w:val="5C0A51BD"/>
    <w:rsid w:val="5C190553"/>
    <w:rsid w:val="5C1E04F9"/>
    <w:rsid w:val="5C304B4D"/>
    <w:rsid w:val="5C4C3633"/>
    <w:rsid w:val="5C7E0D55"/>
    <w:rsid w:val="5C8567D6"/>
    <w:rsid w:val="5C9346E6"/>
    <w:rsid w:val="5C966047"/>
    <w:rsid w:val="5CAB1AF3"/>
    <w:rsid w:val="5CBC7FB4"/>
    <w:rsid w:val="5CBFB4B1"/>
    <w:rsid w:val="5CC3434F"/>
    <w:rsid w:val="5CD34356"/>
    <w:rsid w:val="5CDB4FE6"/>
    <w:rsid w:val="5CDF4258"/>
    <w:rsid w:val="5CDF79EE"/>
    <w:rsid w:val="5CFD0BA4"/>
    <w:rsid w:val="5D0534DC"/>
    <w:rsid w:val="5D41498A"/>
    <w:rsid w:val="5D6E3C23"/>
    <w:rsid w:val="5D8B36D2"/>
    <w:rsid w:val="5D9F2CDA"/>
    <w:rsid w:val="5DAF136B"/>
    <w:rsid w:val="5DB20C5F"/>
    <w:rsid w:val="5DB5274B"/>
    <w:rsid w:val="5DCE7BC3"/>
    <w:rsid w:val="5DE00FB9"/>
    <w:rsid w:val="5DEF3C61"/>
    <w:rsid w:val="5DFF3857"/>
    <w:rsid w:val="5E193D95"/>
    <w:rsid w:val="5E4E4EC8"/>
    <w:rsid w:val="5E5D3E5D"/>
    <w:rsid w:val="5E7738EB"/>
    <w:rsid w:val="5E7B2704"/>
    <w:rsid w:val="5E7D6910"/>
    <w:rsid w:val="5E843D1D"/>
    <w:rsid w:val="5E9771FA"/>
    <w:rsid w:val="5EA9A357"/>
    <w:rsid w:val="5EB6652D"/>
    <w:rsid w:val="5EB94577"/>
    <w:rsid w:val="5EEE374C"/>
    <w:rsid w:val="5EF07C91"/>
    <w:rsid w:val="5EF808F3"/>
    <w:rsid w:val="5EF854D2"/>
    <w:rsid w:val="5EFF4766"/>
    <w:rsid w:val="5F0D4001"/>
    <w:rsid w:val="5F263713"/>
    <w:rsid w:val="5F374E45"/>
    <w:rsid w:val="5F558AB3"/>
    <w:rsid w:val="5F6C8836"/>
    <w:rsid w:val="5F7B5071"/>
    <w:rsid w:val="5F7D0846"/>
    <w:rsid w:val="5F7D67B8"/>
    <w:rsid w:val="5F7D9122"/>
    <w:rsid w:val="5F8623A3"/>
    <w:rsid w:val="5F9C569F"/>
    <w:rsid w:val="5FBC509E"/>
    <w:rsid w:val="5FE771E7"/>
    <w:rsid w:val="5FEA9597"/>
    <w:rsid w:val="5FEF2F9D"/>
    <w:rsid w:val="5FEF41DE"/>
    <w:rsid w:val="5FFE0C21"/>
    <w:rsid w:val="5FFE1467"/>
    <w:rsid w:val="5FFF622B"/>
    <w:rsid w:val="5FFFD254"/>
    <w:rsid w:val="600E3824"/>
    <w:rsid w:val="60312ADF"/>
    <w:rsid w:val="60723C05"/>
    <w:rsid w:val="6074484D"/>
    <w:rsid w:val="609D3493"/>
    <w:rsid w:val="60A3539C"/>
    <w:rsid w:val="60A93A22"/>
    <w:rsid w:val="60AA14A4"/>
    <w:rsid w:val="60B83487"/>
    <w:rsid w:val="60BD26C3"/>
    <w:rsid w:val="60FD5037"/>
    <w:rsid w:val="610253B6"/>
    <w:rsid w:val="610C5CC5"/>
    <w:rsid w:val="6124336C"/>
    <w:rsid w:val="61350A18"/>
    <w:rsid w:val="61502F36"/>
    <w:rsid w:val="615365F7"/>
    <w:rsid w:val="615E224C"/>
    <w:rsid w:val="61657658"/>
    <w:rsid w:val="6187560F"/>
    <w:rsid w:val="61C60977"/>
    <w:rsid w:val="61EE40B9"/>
    <w:rsid w:val="62001A55"/>
    <w:rsid w:val="62430347"/>
    <w:rsid w:val="62546D80"/>
    <w:rsid w:val="62724313"/>
    <w:rsid w:val="627C183B"/>
    <w:rsid w:val="629B43B7"/>
    <w:rsid w:val="62A42563"/>
    <w:rsid w:val="62F51069"/>
    <w:rsid w:val="63046479"/>
    <w:rsid w:val="63272674"/>
    <w:rsid w:val="63284D3B"/>
    <w:rsid w:val="63523981"/>
    <w:rsid w:val="63762A0A"/>
    <w:rsid w:val="637961E8"/>
    <w:rsid w:val="63846F17"/>
    <w:rsid w:val="638F0F9B"/>
    <w:rsid w:val="639C03E7"/>
    <w:rsid w:val="63A01EB7"/>
    <w:rsid w:val="63A47F08"/>
    <w:rsid w:val="63B2141C"/>
    <w:rsid w:val="63D252AC"/>
    <w:rsid w:val="63D37F01"/>
    <w:rsid w:val="63E34ECA"/>
    <w:rsid w:val="64047BB4"/>
    <w:rsid w:val="640C6B37"/>
    <w:rsid w:val="64133A3F"/>
    <w:rsid w:val="641C68CD"/>
    <w:rsid w:val="642C6B67"/>
    <w:rsid w:val="64413B04"/>
    <w:rsid w:val="647E6110"/>
    <w:rsid w:val="649C7F73"/>
    <w:rsid w:val="649D011F"/>
    <w:rsid w:val="64A010A4"/>
    <w:rsid w:val="64C612E4"/>
    <w:rsid w:val="64C847E7"/>
    <w:rsid w:val="64D150F6"/>
    <w:rsid w:val="64E44601"/>
    <w:rsid w:val="64FD143E"/>
    <w:rsid w:val="65387C9C"/>
    <w:rsid w:val="65417F35"/>
    <w:rsid w:val="65474D35"/>
    <w:rsid w:val="6584299C"/>
    <w:rsid w:val="65936532"/>
    <w:rsid w:val="65966139"/>
    <w:rsid w:val="65A50952"/>
    <w:rsid w:val="65BA3C85"/>
    <w:rsid w:val="65C37BA2"/>
    <w:rsid w:val="65CF4C6C"/>
    <w:rsid w:val="66157FDD"/>
    <w:rsid w:val="663B68C7"/>
    <w:rsid w:val="66444FD8"/>
    <w:rsid w:val="66691587"/>
    <w:rsid w:val="667B3D25"/>
    <w:rsid w:val="66911854"/>
    <w:rsid w:val="669B2164"/>
    <w:rsid w:val="66A504F5"/>
    <w:rsid w:val="66A65F76"/>
    <w:rsid w:val="66B06886"/>
    <w:rsid w:val="66EF8E60"/>
    <w:rsid w:val="67090219"/>
    <w:rsid w:val="674028F1"/>
    <w:rsid w:val="676848B5"/>
    <w:rsid w:val="676A4DA1"/>
    <w:rsid w:val="67793D50"/>
    <w:rsid w:val="677F5C59"/>
    <w:rsid w:val="67B331D4"/>
    <w:rsid w:val="67B56133"/>
    <w:rsid w:val="67BBB903"/>
    <w:rsid w:val="68412885"/>
    <w:rsid w:val="686C45DD"/>
    <w:rsid w:val="6892481D"/>
    <w:rsid w:val="68BC0EE4"/>
    <w:rsid w:val="68E16822"/>
    <w:rsid w:val="68E8480B"/>
    <w:rsid w:val="68FB09C9"/>
    <w:rsid w:val="68FE51D1"/>
    <w:rsid w:val="690A31E2"/>
    <w:rsid w:val="691C685A"/>
    <w:rsid w:val="69302015"/>
    <w:rsid w:val="693469CC"/>
    <w:rsid w:val="69382A2C"/>
    <w:rsid w:val="694B7F1C"/>
    <w:rsid w:val="6961040F"/>
    <w:rsid w:val="69686CA6"/>
    <w:rsid w:val="696F0CCF"/>
    <w:rsid w:val="69B018C1"/>
    <w:rsid w:val="69DC353A"/>
    <w:rsid w:val="69E301AA"/>
    <w:rsid w:val="69F06D97"/>
    <w:rsid w:val="69F543AD"/>
    <w:rsid w:val="69F67967"/>
    <w:rsid w:val="69FE4D74"/>
    <w:rsid w:val="6A116D0D"/>
    <w:rsid w:val="6A302FC4"/>
    <w:rsid w:val="6A3419CA"/>
    <w:rsid w:val="6A452F6A"/>
    <w:rsid w:val="6A47646D"/>
    <w:rsid w:val="6A5012FB"/>
    <w:rsid w:val="6A570BC4"/>
    <w:rsid w:val="6A7276EF"/>
    <w:rsid w:val="6A9816EF"/>
    <w:rsid w:val="6A9C4FA2"/>
    <w:rsid w:val="6AC36259"/>
    <w:rsid w:val="6ACD4147"/>
    <w:rsid w:val="6AD050CC"/>
    <w:rsid w:val="6ADA7BDA"/>
    <w:rsid w:val="6AF13A20"/>
    <w:rsid w:val="6AFF643E"/>
    <w:rsid w:val="6B055335"/>
    <w:rsid w:val="6B1F06CE"/>
    <w:rsid w:val="6B333AEC"/>
    <w:rsid w:val="6B433D86"/>
    <w:rsid w:val="6B5A5240"/>
    <w:rsid w:val="6B650E43"/>
    <w:rsid w:val="6BA66029"/>
    <w:rsid w:val="6BBB054D"/>
    <w:rsid w:val="6BC24763"/>
    <w:rsid w:val="6BDF97E5"/>
    <w:rsid w:val="6C2C0803"/>
    <w:rsid w:val="6C496C32"/>
    <w:rsid w:val="6C553829"/>
    <w:rsid w:val="6C7269F6"/>
    <w:rsid w:val="6C8E6327"/>
    <w:rsid w:val="6CA82754"/>
    <w:rsid w:val="6CD46A9B"/>
    <w:rsid w:val="6CDE3C2C"/>
    <w:rsid w:val="6CF94E05"/>
    <w:rsid w:val="6D403BCC"/>
    <w:rsid w:val="6D4D3A17"/>
    <w:rsid w:val="6D607A8E"/>
    <w:rsid w:val="6D65184A"/>
    <w:rsid w:val="6D67600A"/>
    <w:rsid w:val="6D6830E8"/>
    <w:rsid w:val="6D7F0DA3"/>
    <w:rsid w:val="6D7F7125"/>
    <w:rsid w:val="6D920F3D"/>
    <w:rsid w:val="6DA36B6B"/>
    <w:rsid w:val="6DB20ADB"/>
    <w:rsid w:val="6DC26C9C"/>
    <w:rsid w:val="6DC74093"/>
    <w:rsid w:val="6DD13AC2"/>
    <w:rsid w:val="6DD28A13"/>
    <w:rsid w:val="6DD775C2"/>
    <w:rsid w:val="6DF474A1"/>
    <w:rsid w:val="6DFE1C2C"/>
    <w:rsid w:val="6DFF7482"/>
    <w:rsid w:val="6E270646"/>
    <w:rsid w:val="6E384164"/>
    <w:rsid w:val="6E3E5BE1"/>
    <w:rsid w:val="6E647D53"/>
    <w:rsid w:val="6E815015"/>
    <w:rsid w:val="6ECE8A18"/>
    <w:rsid w:val="6ED65BFF"/>
    <w:rsid w:val="6EEE3AC1"/>
    <w:rsid w:val="6EF0008F"/>
    <w:rsid w:val="6EF70AED"/>
    <w:rsid w:val="6EFF706A"/>
    <w:rsid w:val="6F060E0B"/>
    <w:rsid w:val="6F1FA020"/>
    <w:rsid w:val="6F2F0E79"/>
    <w:rsid w:val="6F3B7BE3"/>
    <w:rsid w:val="6F554417"/>
    <w:rsid w:val="6F57A5B6"/>
    <w:rsid w:val="6F6C1D24"/>
    <w:rsid w:val="6F734DE5"/>
    <w:rsid w:val="6F7460EA"/>
    <w:rsid w:val="6F7A123E"/>
    <w:rsid w:val="6F846384"/>
    <w:rsid w:val="6F8A028E"/>
    <w:rsid w:val="6FA568B9"/>
    <w:rsid w:val="6FCFBEAB"/>
    <w:rsid w:val="6FDEC6FB"/>
    <w:rsid w:val="6FF25AA2"/>
    <w:rsid w:val="6FFD6F48"/>
    <w:rsid w:val="6FFFF7E2"/>
    <w:rsid w:val="706F3AC8"/>
    <w:rsid w:val="708741CD"/>
    <w:rsid w:val="709B0398"/>
    <w:rsid w:val="709C13CF"/>
    <w:rsid w:val="70B34FC2"/>
    <w:rsid w:val="70BC42E1"/>
    <w:rsid w:val="70CF6E2B"/>
    <w:rsid w:val="70D70CB1"/>
    <w:rsid w:val="70DF4C2A"/>
    <w:rsid w:val="70E34F4D"/>
    <w:rsid w:val="70FD2968"/>
    <w:rsid w:val="70FD3986"/>
    <w:rsid w:val="71163298"/>
    <w:rsid w:val="711A3E9C"/>
    <w:rsid w:val="711F0324"/>
    <w:rsid w:val="71367F49"/>
    <w:rsid w:val="714C275D"/>
    <w:rsid w:val="714D5970"/>
    <w:rsid w:val="715A4C86"/>
    <w:rsid w:val="715A5F67"/>
    <w:rsid w:val="71637435"/>
    <w:rsid w:val="717C03A2"/>
    <w:rsid w:val="717F4707"/>
    <w:rsid w:val="71BE3F9C"/>
    <w:rsid w:val="71C70C18"/>
    <w:rsid w:val="71CD386B"/>
    <w:rsid w:val="71EF5E30"/>
    <w:rsid w:val="71FBE28F"/>
    <w:rsid w:val="71FD7D12"/>
    <w:rsid w:val="71FE7798"/>
    <w:rsid w:val="72005413"/>
    <w:rsid w:val="720F4DE6"/>
    <w:rsid w:val="72417502"/>
    <w:rsid w:val="725421A4"/>
    <w:rsid w:val="727F33AE"/>
    <w:rsid w:val="729A1F96"/>
    <w:rsid w:val="72B729C4"/>
    <w:rsid w:val="72BB40AF"/>
    <w:rsid w:val="72BE234E"/>
    <w:rsid w:val="72FB4111"/>
    <w:rsid w:val="72FE5336"/>
    <w:rsid w:val="73473349"/>
    <w:rsid w:val="73601B58"/>
    <w:rsid w:val="73670238"/>
    <w:rsid w:val="736B3229"/>
    <w:rsid w:val="73816EAC"/>
    <w:rsid w:val="73897364"/>
    <w:rsid w:val="739F538A"/>
    <w:rsid w:val="73BF7973"/>
    <w:rsid w:val="73D9051D"/>
    <w:rsid w:val="73ED71BD"/>
    <w:rsid w:val="73FC06F8"/>
    <w:rsid w:val="73FD7457"/>
    <w:rsid w:val="740C4084"/>
    <w:rsid w:val="74150381"/>
    <w:rsid w:val="742A7022"/>
    <w:rsid w:val="74450ED1"/>
    <w:rsid w:val="74671085"/>
    <w:rsid w:val="746C0D90"/>
    <w:rsid w:val="7497004B"/>
    <w:rsid w:val="749B605C"/>
    <w:rsid w:val="74B41184"/>
    <w:rsid w:val="74C66EA0"/>
    <w:rsid w:val="74DF2CFE"/>
    <w:rsid w:val="74E032CD"/>
    <w:rsid w:val="74FD4DFC"/>
    <w:rsid w:val="750A4112"/>
    <w:rsid w:val="752F68D0"/>
    <w:rsid w:val="75326552"/>
    <w:rsid w:val="7547C743"/>
    <w:rsid w:val="7559728D"/>
    <w:rsid w:val="755A5DF4"/>
    <w:rsid w:val="757D16FB"/>
    <w:rsid w:val="75931C1B"/>
    <w:rsid w:val="75A71A11"/>
    <w:rsid w:val="75BF2697"/>
    <w:rsid w:val="75C622C6"/>
    <w:rsid w:val="75D44E5F"/>
    <w:rsid w:val="75DC0B17"/>
    <w:rsid w:val="75ED6F78"/>
    <w:rsid w:val="75EF53B2"/>
    <w:rsid w:val="75FB1781"/>
    <w:rsid w:val="75FC790B"/>
    <w:rsid w:val="75FF174E"/>
    <w:rsid w:val="76101441"/>
    <w:rsid w:val="761C6714"/>
    <w:rsid w:val="76384B84"/>
    <w:rsid w:val="763B7D07"/>
    <w:rsid w:val="76484E1E"/>
    <w:rsid w:val="765950B8"/>
    <w:rsid w:val="7671125F"/>
    <w:rsid w:val="769361BC"/>
    <w:rsid w:val="76977CE5"/>
    <w:rsid w:val="76A36431"/>
    <w:rsid w:val="76B10FCA"/>
    <w:rsid w:val="76BFBAF9"/>
    <w:rsid w:val="76DAD326"/>
    <w:rsid w:val="76DB438D"/>
    <w:rsid w:val="76E0FAD1"/>
    <w:rsid w:val="76F352B7"/>
    <w:rsid w:val="76F61222"/>
    <w:rsid w:val="76F94AA0"/>
    <w:rsid w:val="7715546B"/>
    <w:rsid w:val="771C4DF6"/>
    <w:rsid w:val="77207080"/>
    <w:rsid w:val="77260F89"/>
    <w:rsid w:val="772B108E"/>
    <w:rsid w:val="77651748"/>
    <w:rsid w:val="776A6789"/>
    <w:rsid w:val="77735E2C"/>
    <w:rsid w:val="77791CA5"/>
    <w:rsid w:val="777DD219"/>
    <w:rsid w:val="777F2A02"/>
    <w:rsid w:val="777F4A98"/>
    <w:rsid w:val="7780304D"/>
    <w:rsid w:val="77905603"/>
    <w:rsid w:val="77970ABD"/>
    <w:rsid w:val="77AF3383"/>
    <w:rsid w:val="77B57573"/>
    <w:rsid w:val="77C96214"/>
    <w:rsid w:val="77CFFBA7"/>
    <w:rsid w:val="77ED8ACC"/>
    <w:rsid w:val="77F26477"/>
    <w:rsid w:val="77FF99FF"/>
    <w:rsid w:val="78183D1C"/>
    <w:rsid w:val="785E4509"/>
    <w:rsid w:val="787D153B"/>
    <w:rsid w:val="78941160"/>
    <w:rsid w:val="789B436E"/>
    <w:rsid w:val="78A7325B"/>
    <w:rsid w:val="78B5266B"/>
    <w:rsid w:val="78BB48A3"/>
    <w:rsid w:val="78CE0040"/>
    <w:rsid w:val="78EF56B2"/>
    <w:rsid w:val="79002D6F"/>
    <w:rsid w:val="7907369D"/>
    <w:rsid w:val="794D1465"/>
    <w:rsid w:val="794E5597"/>
    <w:rsid w:val="79A00398"/>
    <w:rsid w:val="79A85706"/>
    <w:rsid w:val="79BB17F3"/>
    <w:rsid w:val="79CE3466"/>
    <w:rsid w:val="79EFA7E3"/>
    <w:rsid w:val="79EFC6A0"/>
    <w:rsid w:val="79FBEF53"/>
    <w:rsid w:val="7A3362B8"/>
    <w:rsid w:val="7A385094"/>
    <w:rsid w:val="7A656E5D"/>
    <w:rsid w:val="7A6E123D"/>
    <w:rsid w:val="7A8E221F"/>
    <w:rsid w:val="7AA07F3B"/>
    <w:rsid w:val="7AB36FBE"/>
    <w:rsid w:val="7AB67B89"/>
    <w:rsid w:val="7AD0650C"/>
    <w:rsid w:val="7AD53666"/>
    <w:rsid w:val="7AFDC7DF"/>
    <w:rsid w:val="7B0A53EC"/>
    <w:rsid w:val="7B142A41"/>
    <w:rsid w:val="7B263697"/>
    <w:rsid w:val="7B2A0136"/>
    <w:rsid w:val="7B322D2D"/>
    <w:rsid w:val="7B7407B7"/>
    <w:rsid w:val="7B740ADD"/>
    <w:rsid w:val="7B7A0BB6"/>
    <w:rsid w:val="7BA15A37"/>
    <w:rsid w:val="7BBF5A10"/>
    <w:rsid w:val="7BCEDD15"/>
    <w:rsid w:val="7BD24E35"/>
    <w:rsid w:val="7BEC215B"/>
    <w:rsid w:val="7BECC5A7"/>
    <w:rsid w:val="7BF97273"/>
    <w:rsid w:val="7BFA5853"/>
    <w:rsid w:val="7BFE6604"/>
    <w:rsid w:val="7C266F01"/>
    <w:rsid w:val="7C3B1660"/>
    <w:rsid w:val="7C3F79E7"/>
    <w:rsid w:val="7C563D89"/>
    <w:rsid w:val="7C7778B6"/>
    <w:rsid w:val="7CEB7B00"/>
    <w:rsid w:val="7CED1312"/>
    <w:rsid w:val="7CF460E9"/>
    <w:rsid w:val="7CFD6953"/>
    <w:rsid w:val="7CFE12F0"/>
    <w:rsid w:val="7CFF8670"/>
    <w:rsid w:val="7D2C7525"/>
    <w:rsid w:val="7D48768B"/>
    <w:rsid w:val="7D574C31"/>
    <w:rsid w:val="7D5B0573"/>
    <w:rsid w:val="7D5C518A"/>
    <w:rsid w:val="7D610DC4"/>
    <w:rsid w:val="7D6BF6F1"/>
    <w:rsid w:val="7D6E474B"/>
    <w:rsid w:val="7D8701F4"/>
    <w:rsid w:val="7D8F5EF2"/>
    <w:rsid w:val="7D9756B4"/>
    <w:rsid w:val="7DBA6ED4"/>
    <w:rsid w:val="7DCF0BD3"/>
    <w:rsid w:val="7DD06E79"/>
    <w:rsid w:val="7DDAE20D"/>
    <w:rsid w:val="7DEDEF05"/>
    <w:rsid w:val="7DF34AAF"/>
    <w:rsid w:val="7DF57FB2"/>
    <w:rsid w:val="7DFA9D0A"/>
    <w:rsid w:val="7DFF6E8A"/>
    <w:rsid w:val="7E0D3F64"/>
    <w:rsid w:val="7E2F6E92"/>
    <w:rsid w:val="7E3F712D"/>
    <w:rsid w:val="7E46233B"/>
    <w:rsid w:val="7E4C09C1"/>
    <w:rsid w:val="7E6305E6"/>
    <w:rsid w:val="7E9F19E7"/>
    <w:rsid w:val="7EB75958"/>
    <w:rsid w:val="7EB76FDE"/>
    <w:rsid w:val="7EB81375"/>
    <w:rsid w:val="7EBB4149"/>
    <w:rsid w:val="7EC40654"/>
    <w:rsid w:val="7EEFD09E"/>
    <w:rsid w:val="7EF00F36"/>
    <w:rsid w:val="7EFB3BD2"/>
    <w:rsid w:val="7EFF3CD9"/>
    <w:rsid w:val="7F3FEBCA"/>
    <w:rsid w:val="7F434824"/>
    <w:rsid w:val="7F69341C"/>
    <w:rsid w:val="7F6F3DFA"/>
    <w:rsid w:val="7F7726AD"/>
    <w:rsid w:val="7F77FC85"/>
    <w:rsid w:val="7F7F1B6A"/>
    <w:rsid w:val="7F7F781A"/>
    <w:rsid w:val="7F831D43"/>
    <w:rsid w:val="7FA7187F"/>
    <w:rsid w:val="7FAE6F6C"/>
    <w:rsid w:val="7FBA64FD"/>
    <w:rsid w:val="7FBBDB21"/>
    <w:rsid w:val="7FBF013E"/>
    <w:rsid w:val="7FD10D33"/>
    <w:rsid w:val="7FD9B6E4"/>
    <w:rsid w:val="7FE52CE1"/>
    <w:rsid w:val="7FE95646"/>
    <w:rsid w:val="7FEFD277"/>
    <w:rsid w:val="7FF52178"/>
    <w:rsid w:val="7FF53CD2"/>
    <w:rsid w:val="7FF75B6D"/>
    <w:rsid w:val="7FFF7368"/>
    <w:rsid w:val="97AE32AD"/>
    <w:rsid w:val="97DFA30D"/>
    <w:rsid w:val="9DEF7B86"/>
    <w:rsid w:val="9DFF9D3F"/>
    <w:rsid w:val="9E7FA23E"/>
    <w:rsid w:val="9EFF982B"/>
    <w:rsid w:val="A6E54730"/>
    <w:rsid w:val="A7DF5605"/>
    <w:rsid w:val="A7E592EA"/>
    <w:rsid w:val="ABBF6288"/>
    <w:rsid w:val="AD77A8E8"/>
    <w:rsid w:val="ADF6360C"/>
    <w:rsid w:val="AEBB7823"/>
    <w:rsid w:val="AEFD4579"/>
    <w:rsid w:val="AFC56023"/>
    <w:rsid w:val="AFDE0F6C"/>
    <w:rsid w:val="AFDE25B8"/>
    <w:rsid w:val="AFF46C62"/>
    <w:rsid w:val="AFFF9B3B"/>
    <w:rsid w:val="B39D13CC"/>
    <w:rsid w:val="B7DB2DFF"/>
    <w:rsid w:val="B7DB5225"/>
    <w:rsid w:val="B7DBA2AA"/>
    <w:rsid w:val="B7E45389"/>
    <w:rsid w:val="B7EE15D6"/>
    <w:rsid w:val="B7FB0287"/>
    <w:rsid w:val="B7FF4364"/>
    <w:rsid w:val="B8AFDD7E"/>
    <w:rsid w:val="B8DF430D"/>
    <w:rsid w:val="B9FF62AB"/>
    <w:rsid w:val="BBDFF1B3"/>
    <w:rsid w:val="BDFA8FD7"/>
    <w:rsid w:val="BDFBB220"/>
    <w:rsid w:val="BDFF6F69"/>
    <w:rsid w:val="BE5DD4CC"/>
    <w:rsid w:val="BE9EF66A"/>
    <w:rsid w:val="BEEEA45A"/>
    <w:rsid w:val="BEF75D51"/>
    <w:rsid w:val="BF1EE8A2"/>
    <w:rsid w:val="BF7D9E75"/>
    <w:rsid w:val="BF8FAC8C"/>
    <w:rsid w:val="BFB70331"/>
    <w:rsid w:val="BFDAC45A"/>
    <w:rsid w:val="BFDD8E88"/>
    <w:rsid w:val="BFDF201B"/>
    <w:rsid w:val="BFE6FFDA"/>
    <w:rsid w:val="BFED9B6D"/>
    <w:rsid w:val="BFF668A1"/>
    <w:rsid w:val="BFFDC5C9"/>
    <w:rsid w:val="BFFE8D4F"/>
    <w:rsid w:val="CE33C780"/>
    <w:rsid w:val="CFBD0C4B"/>
    <w:rsid w:val="CFDF4B4B"/>
    <w:rsid w:val="CFDF6068"/>
    <w:rsid w:val="CFEF0A51"/>
    <w:rsid w:val="CFEF62A8"/>
    <w:rsid w:val="D2DDB2BF"/>
    <w:rsid w:val="D5BEA78B"/>
    <w:rsid w:val="D7BF648E"/>
    <w:rsid w:val="D7EF35D0"/>
    <w:rsid w:val="D7EF4B45"/>
    <w:rsid w:val="D7F586A0"/>
    <w:rsid w:val="D7FA1F43"/>
    <w:rsid w:val="D7FCC030"/>
    <w:rsid w:val="D9FF9894"/>
    <w:rsid w:val="D9FFBABA"/>
    <w:rsid w:val="D9FFD1B0"/>
    <w:rsid w:val="DAA5AA51"/>
    <w:rsid w:val="DAF73A0F"/>
    <w:rsid w:val="DB57E72C"/>
    <w:rsid w:val="DBF45B27"/>
    <w:rsid w:val="DD4B3F6D"/>
    <w:rsid w:val="DEFFCFC5"/>
    <w:rsid w:val="DF1D9A85"/>
    <w:rsid w:val="DF63C37F"/>
    <w:rsid w:val="DF65659E"/>
    <w:rsid w:val="DF7710DB"/>
    <w:rsid w:val="DFAAA187"/>
    <w:rsid w:val="DFBFE671"/>
    <w:rsid w:val="DFC90858"/>
    <w:rsid w:val="DFCF245C"/>
    <w:rsid w:val="DFFED870"/>
    <w:rsid w:val="E3FB2A05"/>
    <w:rsid w:val="E70F73DD"/>
    <w:rsid w:val="E73B6FFE"/>
    <w:rsid w:val="E7DE4AF5"/>
    <w:rsid w:val="E7F29F83"/>
    <w:rsid w:val="E99FDAF1"/>
    <w:rsid w:val="EAFB1568"/>
    <w:rsid w:val="EB370408"/>
    <w:rsid w:val="EB497685"/>
    <w:rsid w:val="EBF322D3"/>
    <w:rsid w:val="ECBD6A44"/>
    <w:rsid w:val="ECDB3D1F"/>
    <w:rsid w:val="ECFE2968"/>
    <w:rsid w:val="ED35272B"/>
    <w:rsid w:val="ED6A29EE"/>
    <w:rsid w:val="ED73A551"/>
    <w:rsid w:val="ED7C71A0"/>
    <w:rsid w:val="EDBF21C8"/>
    <w:rsid w:val="EDD98589"/>
    <w:rsid w:val="EDFFFE47"/>
    <w:rsid w:val="EEEF1230"/>
    <w:rsid w:val="EF563C59"/>
    <w:rsid w:val="EF67DB36"/>
    <w:rsid w:val="EF7EADB0"/>
    <w:rsid w:val="EF7F0B62"/>
    <w:rsid w:val="EFAE33B8"/>
    <w:rsid w:val="EFAF6EE4"/>
    <w:rsid w:val="EFBB3FCF"/>
    <w:rsid w:val="EFBF5C39"/>
    <w:rsid w:val="EFD75075"/>
    <w:rsid w:val="EFE7A832"/>
    <w:rsid w:val="EFEF588E"/>
    <w:rsid w:val="EFEFFC16"/>
    <w:rsid w:val="EFF79A66"/>
    <w:rsid w:val="EFFCD35F"/>
    <w:rsid w:val="F1A7BDE1"/>
    <w:rsid w:val="F3C961A9"/>
    <w:rsid w:val="F3CFA96F"/>
    <w:rsid w:val="F3F31A8D"/>
    <w:rsid w:val="F55D33B6"/>
    <w:rsid w:val="F59B145D"/>
    <w:rsid w:val="F5B5D975"/>
    <w:rsid w:val="F65708ED"/>
    <w:rsid w:val="F65E4E98"/>
    <w:rsid w:val="F6BFF99A"/>
    <w:rsid w:val="F6F74B31"/>
    <w:rsid w:val="F75B7B3E"/>
    <w:rsid w:val="F79DE750"/>
    <w:rsid w:val="F7F14CC4"/>
    <w:rsid w:val="F7FF633F"/>
    <w:rsid w:val="F94F4D2C"/>
    <w:rsid w:val="F9DF5457"/>
    <w:rsid w:val="F9FBAB82"/>
    <w:rsid w:val="FAD53431"/>
    <w:rsid w:val="FADD3B15"/>
    <w:rsid w:val="FAF7A321"/>
    <w:rsid w:val="FB5E2776"/>
    <w:rsid w:val="FB9613D0"/>
    <w:rsid w:val="FBB9CD35"/>
    <w:rsid w:val="FBDC525D"/>
    <w:rsid w:val="FBFE9ADB"/>
    <w:rsid w:val="FBFF8476"/>
    <w:rsid w:val="FCBD5D86"/>
    <w:rsid w:val="FCEBB5C0"/>
    <w:rsid w:val="FCFF6825"/>
    <w:rsid w:val="FD75E6DE"/>
    <w:rsid w:val="FD7C6042"/>
    <w:rsid w:val="FD958E99"/>
    <w:rsid w:val="FD9F75F3"/>
    <w:rsid w:val="FDBDB442"/>
    <w:rsid w:val="FDDEEC38"/>
    <w:rsid w:val="FDF78221"/>
    <w:rsid w:val="FDF78B3B"/>
    <w:rsid w:val="FDF7E961"/>
    <w:rsid w:val="FDFDDE8D"/>
    <w:rsid w:val="FDFF85D2"/>
    <w:rsid w:val="FE3B838D"/>
    <w:rsid w:val="FE7FFF33"/>
    <w:rsid w:val="FEA9092D"/>
    <w:rsid w:val="FEBFB447"/>
    <w:rsid w:val="FECF3EC7"/>
    <w:rsid w:val="FEDDAF64"/>
    <w:rsid w:val="FEDF0FFC"/>
    <w:rsid w:val="FEF95E27"/>
    <w:rsid w:val="FEFB632D"/>
    <w:rsid w:val="FEFE7962"/>
    <w:rsid w:val="FEFEB804"/>
    <w:rsid w:val="FEFEF3A9"/>
    <w:rsid w:val="FEFF4BD4"/>
    <w:rsid w:val="FF3EB5A5"/>
    <w:rsid w:val="FF5F09BF"/>
    <w:rsid w:val="FF5F65F7"/>
    <w:rsid w:val="FF7CCE3C"/>
    <w:rsid w:val="FFA7F3E6"/>
    <w:rsid w:val="FFBE27F1"/>
    <w:rsid w:val="FFBE5156"/>
    <w:rsid w:val="FFBFF72E"/>
    <w:rsid w:val="FFD436D1"/>
    <w:rsid w:val="FFDFFB0F"/>
    <w:rsid w:val="FFE71E03"/>
    <w:rsid w:val="FFEFD866"/>
    <w:rsid w:val="FFF7A942"/>
    <w:rsid w:val="FFFA946D"/>
    <w:rsid w:val="FFFB312A"/>
    <w:rsid w:val="FFFB975C"/>
    <w:rsid w:val="FFFD5268"/>
    <w:rsid w:val="FFFDF9C1"/>
    <w:rsid w:val="FFFEC24D"/>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黑体"/>
      <w:kern w:val="2"/>
      <w:sz w:val="32"/>
      <w:szCs w:val="22"/>
      <w:lang w:val="en-US" w:eastAsia="zh-CN" w:bidi="ar-SA"/>
    </w:rPr>
  </w:style>
  <w:style w:type="paragraph" w:styleId="2">
    <w:name w:val="heading 1"/>
    <w:basedOn w:val="1"/>
    <w:next w:val="1"/>
    <w:link w:val="43"/>
    <w:qFormat/>
    <w:uiPriority w:val="0"/>
    <w:pPr>
      <w:outlineLvl w:val="0"/>
    </w:pPr>
    <w:rPr>
      <w:rFonts w:eastAsia="黑体"/>
      <w:bCs/>
      <w:kern w:val="44"/>
      <w:szCs w:val="44"/>
    </w:rPr>
  </w:style>
  <w:style w:type="paragraph" w:styleId="3">
    <w:name w:val="heading 2"/>
    <w:basedOn w:val="1"/>
    <w:next w:val="1"/>
    <w:link w:val="44"/>
    <w:unhideWhenUsed/>
    <w:qFormat/>
    <w:uiPriority w:val="0"/>
    <w:pPr>
      <w:outlineLvl w:val="1"/>
    </w:pPr>
    <w:rPr>
      <w:rFonts w:eastAsia="楷体_GB2312"/>
      <w:bCs/>
      <w:szCs w:val="32"/>
    </w:rPr>
  </w:style>
  <w:style w:type="paragraph" w:styleId="4">
    <w:name w:val="heading 3"/>
    <w:basedOn w:val="1"/>
    <w:next w:val="1"/>
    <w:unhideWhenUsed/>
    <w:qFormat/>
    <w:uiPriority w:val="0"/>
    <w:pPr>
      <w:outlineLvl w:val="2"/>
    </w:pPr>
    <w:rPr>
      <w:b/>
      <w:bCs/>
      <w:szCs w:val="32"/>
    </w:rPr>
  </w:style>
  <w:style w:type="character" w:default="1" w:styleId="29">
    <w:name w:val="Default Paragraph Font"/>
    <w:link w:val="30"/>
    <w:unhideWhenUsed/>
    <w:qFormat/>
    <w:uiPriority w:val="1"/>
  </w:style>
  <w:style w:type="table" w:default="1" w:styleId="27">
    <w:name w:val="Normal Table"/>
    <w:unhideWhenUsed/>
    <w:qFormat/>
    <w:uiPriority w:val="99"/>
    <w:tblPr>
      <w:tblCellMar>
        <w:top w:w="0" w:type="dxa"/>
        <w:left w:w="108" w:type="dxa"/>
        <w:bottom w:w="0" w:type="dxa"/>
        <w:right w:w="108" w:type="dxa"/>
      </w:tblCellMar>
    </w:tblPr>
  </w:style>
  <w:style w:type="paragraph" w:styleId="5">
    <w:name w:val="toc 7"/>
    <w:basedOn w:val="1"/>
    <w:next w:val="1"/>
    <w:qFormat/>
    <w:uiPriority w:val="0"/>
    <w:pPr>
      <w:ind w:left="2520" w:leftChars="1200"/>
    </w:pPr>
  </w:style>
  <w:style w:type="paragraph" w:styleId="6">
    <w:name w:val="Normal Indent"/>
    <w:qFormat/>
    <w:uiPriority w:val="0"/>
    <w:pPr>
      <w:ind w:firstLine="420" w:firstLineChars="200"/>
    </w:pPr>
    <w:rPr>
      <w:rFonts w:ascii="Times New Roman" w:hAnsi="Times New Roman" w:eastAsia="宋体" w:cs="Times New Roman"/>
      <w:lang w:val="en-US" w:eastAsia="zh-CN" w:bidi="ar-SA"/>
    </w:rPr>
  </w:style>
  <w:style w:type="paragraph" w:styleId="7">
    <w:name w:val="index 5"/>
    <w:next w:val="1"/>
    <w:unhideWhenUsed/>
    <w:qFormat/>
    <w:uiPriority w:val="99"/>
    <w:pPr>
      <w:widowControl w:val="0"/>
      <w:ind w:left="1680"/>
      <w:jc w:val="both"/>
    </w:pPr>
    <w:rPr>
      <w:rFonts w:ascii="Calibri" w:hAnsi="Calibri" w:eastAsia="宋体" w:cs="Times New Roman"/>
      <w:kern w:val="2"/>
      <w:sz w:val="21"/>
      <w:szCs w:val="22"/>
      <w:lang w:val="en-US" w:eastAsia="zh-CN" w:bidi="ar-SA"/>
    </w:rPr>
  </w:style>
  <w:style w:type="paragraph" w:styleId="8">
    <w:name w:val="annotation text"/>
    <w:basedOn w:val="1"/>
    <w:link w:val="45"/>
    <w:qFormat/>
    <w:uiPriority w:val="0"/>
    <w:pPr>
      <w:jc w:val="left"/>
    </w:pPr>
  </w:style>
  <w:style w:type="paragraph" w:styleId="9">
    <w:name w:val="Body Text"/>
    <w:basedOn w:val="1"/>
    <w:next w:val="10"/>
    <w:unhideWhenUsed/>
    <w:qFormat/>
    <w:uiPriority w:val="99"/>
    <w:pPr>
      <w:spacing w:after="120"/>
    </w:pPr>
  </w:style>
  <w:style w:type="paragraph" w:styleId="10">
    <w:name w:val="Body Text First Indent"/>
    <w:basedOn w:val="9"/>
    <w:next w:val="1"/>
    <w:unhideWhenUsed/>
    <w:qFormat/>
    <w:uiPriority w:val="99"/>
    <w:pPr>
      <w:ind w:firstLine="420" w:firstLineChars="100"/>
    </w:pPr>
  </w:style>
  <w:style w:type="paragraph" w:styleId="11">
    <w:name w:val="Body Text Indent"/>
    <w:basedOn w:val="1"/>
    <w:qFormat/>
    <w:uiPriority w:val="0"/>
    <w:pPr>
      <w:spacing w:after="120"/>
      <w:ind w:left="420" w:leftChars="200"/>
    </w:pPr>
  </w:style>
  <w:style w:type="paragraph" w:styleId="12">
    <w:name w:val="toc 5"/>
    <w:basedOn w:val="1"/>
    <w:next w:val="1"/>
    <w:qFormat/>
    <w:uiPriority w:val="0"/>
    <w:pPr>
      <w:ind w:left="1680" w:leftChars="800"/>
    </w:pPr>
  </w:style>
  <w:style w:type="paragraph" w:styleId="13">
    <w:name w:val="toc 3"/>
    <w:basedOn w:val="1"/>
    <w:next w:val="1"/>
    <w:qFormat/>
    <w:uiPriority w:val="0"/>
    <w:pPr>
      <w:ind w:left="840" w:leftChars="400"/>
    </w:pPr>
  </w:style>
  <w:style w:type="paragraph" w:styleId="14">
    <w:name w:val="toc 8"/>
    <w:basedOn w:val="1"/>
    <w:next w:val="1"/>
    <w:qFormat/>
    <w:uiPriority w:val="0"/>
    <w:pPr>
      <w:ind w:left="2940" w:leftChars="1400"/>
    </w:pPr>
  </w:style>
  <w:style w:type="paragraph" w:styleId="15">
    <w:name w:val="Balloon Text"/>
    <w:basedOn w:val="1"/>
    <w:link w:val="47"/>
    <w:qFormat/>
    <w:uiPriority w:val="0"/>
    <w:pPr>
      <w:spacing w:line="240" w:lineRule="auto"/>
    </w:pPr>
    <w:rPr>
      <w:sz w:val="18"/>
      <w:szCs w:val="18"/>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8">
    <w:name w:val="toc 1"/>
    <w:basedOn w:val="1"/>
    <w:next w:val="1"/>
    <w:qFormat/>
    <w:uiPriority w:val="39"/>
    <w:rPr>
      <w:rFonts w:eastAsia="黑体"/>
    </w:rPr>
  </w:style>
  <w:style w:type="paragraph" w:styleId="19">
    <w:name w:val="toc 4"/>
    <w:basedOn w:val="1"/>
    <w:next w:val="1"/>
    <w:qFormat/>
    <w:uiPriority w:val="0"/>
    <w:pPr>
      <w:ind w:left="1260" w:leftChars="600"/>
    </w:pPr>
  </w:style>
  <w:style w:type="paragraph" w:styleId="20">
    <w:name w:val="footnote text"/>
    <w:basedOn w:val="1"/>
    <w:qFormat/>
    <w:uiPriority w:val="0"/>
    <w:pPr>
      <w:snapToGrid w:val="0"/>
      <w:jc w:val="left"/>
    </w:pPr>
    <w:rPr>
      <w:sz w:val="18"/>
    </w:rPr>
  </w:style>
  <w:style w:type="paragraph" w:styleId="21">
    <w:name w:val="toc 6"/>
    <w:basedOn w:val="1"/>
    <w:next w:val="1"/>
    <w:qFormat/>
    <w:uiPriority w:val="0"/>
    <w:pPr>
      <w:ind w:left="2100" w:leftChars="1000"/>
    </w:pPr>
  </w:style>
  <w:style w:type="paragraph" w:styleId="22">
    <w:name w:val="toc 2"/>
    <w:basedOn w:val="1"/>
    <w:next w:val="1"/>
    <w:qFormat/>
    <w:uiPriority w:val="39"/>
    <w:pPr>
      <w:ind w:left="420" w:leftChars="200"/>
    </w:pPr>
    <w:rPr>
      <w:rFonts w:eastAsia="楷体_GB2312"/>
    </w:rPr>
  </w:style>
  <w:style w:type="paragraph" w:styleId="23">
    <w:name w:val="toc 9"/>
    <w:basedOn w:val="1"/>
    <w:next w:val="1"/>
    <w:qFormat/>
    <w:uiPriority w:val="0"/>
    <w:pPr>
      <w:ind w:left="3360" w:leftChars="1600"/>
    </w:pPr>
  </w:style>
  <w:style w:type="paragraph" w:styleId="24">
    <w:name w:val="Normal (Web)"/>
    <w:basedOn w:val="1"/>
    <w:qFormat/>
    <w:uiPriority w:val="0"/>
    <w:rPr>
      <w:sz w:val="24"/>
    </w:rPr>
  </w:style>
  <w:style w:type="paragraph" w:styleId="25">
    <w:name w:val="annotation subject"/>
    <w:basedOn w:val="8"/>
    <w:next w:val="8"/>
    <w:link w:val="46"/>
    <w:qFormat/>
    <w:uiPriority w:val="0"/>
    <w:rPr>
      <w:b/>
      <w:bCs/>
    </w:rPr>
  </w:style>
  <w:style w:type="paragraph" w:styleId="26">
    <w:name w:val="Body Text First Indent 2"/>
    <w:qFormat/>
    <w:uiPriority w:val="0"/>
    <w:pPr>
      <w:widowControl w:val="0"/>
      <w:spacing w:after="120" w:line="560" w:lineRule="exact"/>
      <w:ind w:left="420" w:leftChars="200" w:firstLine="420" w:firstLineChars="200"/>
      <w:jc w:val="both"/>
    </w:pPr>
    <w:rPr>
      <w:rFonts w:ascii="Times New Roman" w:hAnsi="Times New Roman" w:eastAsia="仿宋_GB2312" w:cs="黑体"/>
      <w:kern w:val="2"/>
      <w:sz w:val="32"/>
      <w:szCs w:val="32"/>
      <w:lang w:val="en-US" w:eastAsia="zh-CN" w:bidi="ar-SA"/>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Char"/>
    <w:basedOn w:val="1"/>
    <w:link w:val="29"/>
    <w:qFormat/>
    <w:uiPriority w:val="0"/>
    <w:pPr>
      <w:widowControl/>
      <w:spacing w:after="160" w:line="240" w:lineRule="exact"/>
      <w:jc w:val="left"/>
    </w:pPr>
  </w:style>
  <w:style w:type="character" w:styleId="31">
    <w:name w:val="Strong"/>
    <w:basedOn w:val="29"/>
    <w:qFormat/>
    <w:uiPriority w:val="0"/>
    <w:rPr>
      <w:bCs/>
    </w:rPr>
  </w:style>
  <w:style w:type="character" w:styleId="32">
    <w:name w:val="Emphasis"/>
    <w:basedOn w:val="29"/>
    <w:qFormat/>
    <w:uiPriority w:val="0"/>
    <w:rPr>
      <w:i/>
    </w:rPr>
  </w:style>
  <w:style w:type="character" w:styleId="33">
    <w:name w:val="Hyperlink"/>
    <w:basedOn w:val="29"/>
    <w:qFormat/>
    <w:uiPriority w:val="99"/>
    <w:rPr>
      <w:color w:val="0000FF"/>
      <w:u w:val="single"/>
    </w:rPr>
  </w:style>
  <w:style w:type="character" w:styleId="34">
    <w:name w:val="annotation reference"/>
    <w:basedOn w:val="29"/>
    <w:qFormat/>
    <w:uiPriority w:val="0"/>
    <w:rPr>
      <w:sz w:val="21"/>
      <w:szCs w:val="21"/>
    </w:rPr>
  </w:style>
  <w:style w:type="character" w:styleId="35">
    <w:name w:val="footnote reference"/>
    <w:basedOn w:val="29"/>
    <w:qFormat/>
    <w:uiPriority w:val="0"/>
    <w:rPr>
      <w:vertAlign w:val="superscript"/>
    </w:rPr>
  </w:style>
  <w:style w:type="paragraph" w:customStyle="1" w:styleId="36">
    <w:name w:val="Char1"/>
    <w:basedOn w:val="1"/>
    <w:qFormat/>
    <w:uiPriority w:val="0"/>
    <w:rPr>
      <w:rFonts w:ascii="仿宋_GB2312" w:cs="Times New Roman"/>
      <w:b/>
      <w:szCs w:val="32"/>
    </w:rPr>
  </w:style>
  <w:style w:type="paragraph" w:customStyle="1" w:styleId="37">
    <w:name w:val="列出段落1"/>
    <w:basedOn w:val="1"/>
    <w:qFormat/>
    <w:uiPriority w:val="99"/>
    <w:pPr>
      <w:ind w:firstLine="420"/>
    </w:pPr>
  </w:style>
  <w:style w:type="paragraph" w:customStyle="1" w:styleId="38">
    <w:name w:val="UserStyle_0"/>
    <w:basedOn w:val="1"/>
    <w:link w:val="48"/>
    <w:qFormat/>
    <w:uiPriority w:val="0"/>
    <w:pPr>
      <w:widowControl/>
      <w:spacing w:line="240" w:lineRule="auto"/>
      <w:textAlignment w:val="baseline"/>
    </w:pPr>
    <w:rPr>
      <w:rFonts w:ascii="仿宋_GB2312" w:cs="Times New Roman"/>
      <w:b/>
      <w:szCs w:val="32"/>
    </w:rPr>
  </w:style>
  <w:style w:type="paragraph" w:customStyle="1" w:styleId="39">
    <w:name w:val="修订1"/>
    <w:hidden/>
    <w:unhideWhenUsed/>
    <w:qFormat/>
    <w:uiPriority w:val="99"/>
    <w:rPr>
      <w:rFonts w:ascii="Times New Roman" w:hAnsi="Times New Roman" w:eastAsia="仿宋_GB2312" w:cs="黑体"/>
      <w:kern w:val="2"/>
      <w:sz w:val="32"/>
      <w:szCs w:val="22"/>
      <w:lang w:val="en-US" w:eastAsia="zh-CN" w:bidi="ar-SA"/>
    </w:rPr>
  </w:style>
  <w:style w:type="paragraph" w:customStyle="1" w:styleId="40">
    <w:name w:val="Default"/>
    <w:next w:val="7"/>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1">
    <w:name w:val="正文（三号）"/>
    <w:next w:val="1"/>
    <w:qFormat/>
    <w:uiPriority w:val="0"/>
    <w:pPr>
      <w:spacing w:line="570" w:lineRule="exact"/>
      <w:ind w:firstLine="880" w:firstLineChars="200"/>
    </w:pPr>
    <w:rPr>
      <w:rFonts w:ascii="Times New Roman" w:hAnsi="Times New Roman" w:eastAsia="仿宋_GB2312" w:cs="Times New Roman"/>
      <w:sz w:val="32"/>
      <w:lang w:val="en-US" w:eastAsia="zh-CN" w:bidi="ar-SA"/>
    </w:rPr>
  </w:style>
  <w:style w:type="paragraph" w:customStyle="1" w:styleId="42">
    <w:name w:val="Revision"/>
    <w:hidden/>
    <w:unhideWhenUsed/>
    <w:qFormat/>
    <w:uiPriority w:val="99"/>
    <w:rPr>
      <w:rFonts w:ascii="Times New Roman" w:hAnsi="Times New Roman" w:eastAsia="仿宋_GB2312" w:cs="黑体"/>
      <w:kern w:val="2"/>
      <w:sz w:val="32"/>
      <w:szCs w:val="22"/>
      <w:lang w:val="en-US" w:eastAsia="zh-CN" w:bidi="ar-SA"/>
    </w:rPr>
  </w:style>
  <w:style w:type="character" w:customStyle="1" w:styleId="43">
    <w:name w:val="标题 1 字符"/>
    <w:basedOn w:val="29"/>
    <w:link w:val="2"/>
    <w:qFormat/>
    <w:uiPriority w:val="9"/>
    <w:rPr>
      <w:rFonts w:ascii="Times New Roman" w:hAnsi="Times New Roman" w:eastAsia="黑体"/>
      <w:bCs/>
      <w:kern w:val="44"/>
      <w:sz w:val="32"/>
      <w:szCs w:val="44"/>
    </w:rPr>
  </w:style>
  <w:style w:type="character" w:customStyle="1" w:styleId="44">
    <w:name w:val="标题 2 字符"/>
    <w:basedOn w:val="29"/>
    <w:link w:val="3"/>
    <w:qFormat/>
    <w:uiPriority w:val="9"/>
    <w:rPr>
      <w:rFonts w:ascii="Times New Roman" w:hAnsi="Times New Roman" w:eastAsia="楷体_GB2312" w:cs="黑体"/>
      <w:bCs/>
      <w:sz w:val="32"/>
      <w:szCs w:val="32"/>
    </w:rPr>
  </w:style>
  <w:style w:type="character" w:customStyle="1" w:styleId="45">
    <w:name w:val="批注文字 字符"/>
    <w:basedOn w:val="29"/>
    <w:link w:val="8"/>
    <w:qFormat/>
    <w:uiPriority w:val="0"/>
    <w:rPr>
      <w:rFonts w:ascii="Times New Roman" w:hAnsi="Times New Roman" w:eastAsia="仿宋_GB2312"/>
      <w:kern w:val="2"/>
      <w:sz w:val="32"/>
      <w:szCs w:val="22"/>
    </w:rPr>
  </w:style>
  <w:style w:type="character" w:customStyle="1" w:styleId="46">
    <w:name w:val="批注主题 字符"/>
    <w:basedOn w:val="45"/>
    <w:link w:val="25"/>
    <w:qFormat/>
    <w:uiPriority w:val="0"/>
    <w:rPr>
      <w:rFonts w:ascii="Times New Roman" w:hAnsi="Times New Roman" w:eastAsia="仿宋_GB2312"/>
      <w:bCs/>
      <w:kern w:val="2"/>
      <w:sz w:val="32"/>
      <w:szCs w:val="22"/>
    </w:rPr>
  </w:style>
  <w:style w:type="character" w:customStyle="1" w:styleId="47">
    <w:name w:val="批注框文本 字符"/>
    <w:basedOn w:val="29"/>
    <w:link w:val="15"/>
    <w:qFormat/>
    <w:uiPriority w:val="0"/>
    <w:rPr>
      <w:rFonts w:ascii="Times New Roman" w:hAnsi="Times New Roman" w:eastAsia="仿宋_GB2312"/>
      <w:kern w:val="2"/>
      <w:sz w:val="18"/>
      <w:szCs w:val="18"/>
    </w:rPr>
  </w:style>
  <w:style w:type="character" w:customStyle="1" w:styleId="48">
    <w:name w:val="NormalCharacter"/>
    <w:basedOn w:val="29"/>
    <w:link w:val="38"/>
    <w:qFormat/>
    <w:uiPriority w:val="0"/>
    <w:rPr>
      <w:rFonts w:ascii="仿宋_GB2312" w:hAnsi="Times New Roman" w:eastAsia="仿宋_GB2312" w:cs="Times New Roman"/>
      <w:spacing w:val="0"/>
      <w:kern w:val="2"/>
      <w:sz w:val="32"/>
      <w:szCs w:val="32"/>
      <w:lang w:val="en-US" w:eastAsia="zh-CN" w:bidi="ar-SA"/>
    </w:rPr>
  </w:style>
  <w:style w:type="character" w:customStyle="1" w:styleId="49">
    <w:name w:val="font11"/>
    <w:basedOn w:val="29"/>
    <w:qFormat/>
    <w:uiPriority w:val="0"/>
    <w:rPr>
      <w:rFonts w:hint="eastAsia" w:ascii="仿宋_GB2312" w:eastAsia="仿宋_GB2312" w:cs="仿宋_GB2312"/>
      <w:color w:val="000000"/>
      <w:sz w:val="28"/>
      <w:szCs w:val="28"/>
      <w:u w:val="none"/>
    </w:rPr>
  </w:style>
  <w:style w:type="character" w:customStyle="1" w:styleId="50">
    <w:name w:val="15"/>
    <w:qFormat/>
    <w:uiPriority w:val="0"/>
    <w:rPr>
      <w:rFonts w:hint="eastAsia" w:ascii="仿宋_GB2312" w:hAnsi="Times New Roman" w:eastAsia="仿宋_GB2312"/>
      <w:b/>
      <w:kern w:val="2"/>
      <w:sz w:val="32"/>
      <w:szCs w:val="32"/>
    </w:rPr>
  </w:style>
  <w:style w:type="character" w:customStyle="1" w:styleId="51">
    <w:name w:val="10"/>
    <w:basedOn w:val="29"/>
    <w:qFormat/>
    <w:uiPriority w:val="0"/>
    <w:rPr>
      <w:rFonts w:hint="default" w:ascii="Times New Roman" w:hAnsi="Times New Roman" w:cs="Times New Roman"/>
    </w:rPr>
  </w:style>
  <w:style w:type="table" w:customStyle="1" w:styleId="52">
    <w:name w:val="网格型3"/>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微软中国</Company>
  <Pages>27</Pages>
  <Words>11295</Words>
  <Characters>64388</Characters>
  <Lines>536</Lines>
  <Paragraphs>151</Paragraphs>
  <TotalTime>1</TotalTime>
  <ScaleCrop>false</ScaleCrop>
  <LinksUpToDate>false</LinksUpToDate>
  <CharactersWithSpaces>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2023-07-18T00:22:00Z</dcterms:created>
  <dc:creator>CC</dc:creator>
  <cp:lastModifiedBy>fgj</cp:lastModifiedBy>
  <dcterms:modified xsi:type="dcterms:W3CDTF">2025-12-29T09:58:38Z</dcterms:modified>
  <dc:title>余杭区国民经济与社会发展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1245E55F1212458BAB789312531116B4_13</vt:lpwstr>
  </property>
  <property fmtid="{D5CDD505-2E9C-101B-9397-08002B2CF9AE}" pid="4" name="woSyncTypoMode">
    <vt:bool>true</vt:bool>
  </property>
  <property fmtid="{D5CDD505-2E9C-101B-9397-08002B2CF9AE}" pid="5" name="woTypoMode">
    <vt:lpwstr/>
  </property>
  <property fmtid="{D5CDD505-2E9C-101B-9397-08002B2CF9AE}" pid="6" name="woTemplateTypoMode">
    <vt:lpwstr/>
  </property>
  <property fmtid="{D5CDD505-2E9C-101B-9397-08002B2CF9AE}" pid="7" name="woTemplate">
    <vt:r8>0</vt:r8>
  </property>
</Properties>
</file>