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spacing w:line="570" w:lineRule="exact"/>
        <w:ind w:left="0" w:leftChars="0" w:right="0"/>
        <w:jc w:val="center"/>
        <w:textAlignment w:val="auto"/>
        <w:outlineLvl w:val="9"/>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sz w:val="44"/>
          <w:szCs w:val="44"/>
        </w:rPr>
        <w:t>《</w:t>
      </w:r>
      <w:r>
        <w:rPr>
          <w:rFonts w:hint="eastAsia" w:ascii="方正小标宋_GBK" w:hAnsi="方正小标宋_GBK" w:eastAsia="方正小标宋_GBK" w:cs="方正小标宋_GBK"/>
          <w:sz w:val="44"/>
          <w:szCs w:val="44"/>
          <w:lang w:eastAsia="zh-CN"/>
        </w:rPr>
        <w:t>仓前</w:t>
      </w:r>
      <w:r>
        <w:rPr>
          <w:rFonts w:hint="eastAsia" w:ascii="方正小标宋_GBK" w:hAnsi="方正小标宋_GBK" w:eastAsia="方正小标宋_GBK" w:cs="方正小标宋_GBK"/>
          <w:sz w:val="44"/>
          <w:szCs w:val="44"/>
        </w:rPr>
        <w:t>街道集体土地</w:t>
      </w:r>
      <w:r>
        <w:rPr>
          <w:rFonts w:hint="eastAsia" w:ascii="方正小标宋_GBK" w:hAnsi="方正小标宋_GBK" w:eastAsia="方正小标宋_GBK" w:cs="方正小标宋_GBK"/>
          <w:sz w:val="44"/>
          <w:szCs w:val="44"/>
          <w:lang w:val="en-US" w:eastAsia="zh-CN"/>
        </w:rPr>
        <w:t>上</w:t>
      </w:r>
      <w:r>
        <w:rPr>
          <w:rFonts w:hint="eastAsia" w:ascii="方正小标宋_GBK" w:hAnsi="方正小标宋_GBK" w:eastAsia="方正小标宋_GBK" w:cs="方正小标宋_GBK"/>
          <w:sz w:val="44"/>
          <w:szCs w:val="44"/>
        </w:rPr>
        <w:t>住宅房屋</w:t>
      </w:r>
      <w:r>
        <w:rPr>
          <w:rFonts w:hint="eastAsia" w:ascii="方正小标宋_GBK" w:hAnsi="方正小标宋_GBK" w:eastAsia="方正小标宋_GBK" w:cs="方正小标宋_GBK"/>
          <w:sz w:val="44"/>
          <w:szCs w:val="44"/>
          <w:lang w:val="en-US" w:eastAsia="zh-CN"/>
        </w:rPr>
        <w:t>征迁实物+货币补偿</w:t>
      </w:r>
      <w:r>
        <w:rPr>
          <w:rFonts w:hint="eastAsia" w:ascii="方正小标宋_GBK" w:hAnsi="方正小标宋_GBK" w:eastAsia="方正小标宋_GBK" w:cs="方正小标宋_GBK"/>
          <w:sz w:val="44"/>
          <w:szCs w:val="44"/>
        </w:rPr>
        <w:t>安置</w:t>
      </w:r>
      <w:r>
        <w:rPr>
          <w:rFonts w:hint="eastAsia" w:ascii="方正小标宋_GBK" w:hAnsi="方正小标宋_GBK" w:eastAsia="方正小标宋_GBK" w:cs="方正小标宋_GBK"/>
          <w:sz w:val="44"/>
          <w:szCs w:val="44"/>
          <w:lang w:val="en-US" w:eastAsia="zh-CN"/>
        </w:rPr>
        <w:t>方案</w:t>
      </w:r>
      <w:r>
        <w:rPr>
          <w:rFonts w:hint="eastAsia" w:ascii="方正小标宋_GBK" w:hAnsi="方正小标宋_GBK" w:eastAsia="方正小标宋_GBK" w:cs="方正小标宋_GBK"/>
          <w:sz w:val="44"/>
          <w:szCs w:val="44"/>
        </w:rPr>
        <w:t>》的起草说明</w:t>
      </w:r>
    </w:p>
    <w:p>
      <w:pPr>
        <w:wordWrap/>
        <w:spacing w:line="570" w:lineRule="exact"/>
        <w:ind w:left="0" w:leftChars="0" w:right="0" w:firstLine="640" w:firstLineChars="200"/>
        <w:textAlignment w:val="auto"/>
        <w:outlineLvl w:val="9"/>
        <w:rPr>
          <w:rFonts w:hint="eastAsia" w:ascii="仿宋_GB2312" w:hAnsi="仿宋_GB2312" w:eastAsia="仿宋_GB2312" w:cs="仿宋_GB2312"/>
          <w:color w:val="000000"/>
          <w:kern w:val="0"/>
          <w:sz w:val="32"/>
          <w:szCs w:val="32"/>
        </w:rPr>
      </w:pPr>
    </w:p>
    <w:p>
      <w:pPr>
        <w:widowControl w:val="0"/>
        <w:wordWrap/>
        <w:adjustRightInd/>
        <w:snapToGrid/>
        <w:spacing w:line="570" w:lineRule="exact"/>
        <w:ind w:left="0" w:leftChars="0" w:right="0" w:firstLine="640" w:firstLineChars="200"/>
        <w:jc w:val="left"/>
        <w:textAlignment w:val="auto"/>
        <w:outlineLvl w:val="9"/>
        <w:rPr>
          <w:rFonts w:hint="eastAsia" w:ascii="仿宋_GB2312" w:hAnsi="Times New Roman" w:eastAsia="仿宋_GB2312"/>
          <w:sz w:val="32"/>
        </w:rPr>
      </w:pPr>
      <w:r>
        <w:rPr>
          <w:rFonts w:hint="eastAsia" w:ascii="仿宋_GB2312" w:hAnsi="仿宋_GB2312" w:eastAsia="仿宋_GB2312" w:cs="仿宋_GB2312"/>
          <w:sz w:val="32"/>
          <w:szCs w:val="32"/>
        </w:rPr>
        <w:t>为规范仓前街道集体土地上住宅房屋征迁</w:t>
      </w:r>
      <w:r>
        <w:rPr>
          <w:rFonts w:hint="eastAsia" w:ascii="仿宋_GB2312" w:hAnsi="仿宋_GB2312" w:eastAsia="仿宋_GB2312" w:cs="仿宋_GB2312"/>
          <w:sz w:val="32"/>
          <w:szCs w:val="32"/>
          <w:lang w:val="en-US" w:eastAsia="zh-CN"/>
        </w:rPr>
        <w:t>安置</w:t>
      </w:r>
      <w:r>
        <w:rPr>
          <w:rFonts w:hint="eastAsia" w:ascii="仿宋_GB2312" w:hAnsi="仿宋_GB2312" w:eastAsia="仿宋_GB2312" w:cs="仿宋_GB2312"/>
          <w:sz w:val="32"/>
          <w:szCs w:val="32"/>
        </w:rPr>
        <w:t>工作，保障被</w:t>
      </w:r>
      <w:r>
        <w:rPr>
          <w:rFonts w:hint="eastAsia" w:ascii="仿宋_GB2312" w:hAnsi="仿宋_GB2312" w:eastAsia="仿宋_GB2312" w:cs="仿宋_GB2312"/>
          <w:sz w:val="32"/>
          <w:szCs w:val="32"/>
          <w:lang w:val="en-US" w:eastAsia="zh-CN"/>
        </w:rPr>
        <w:t>征迁</w:t>
      </w:r>
      <w:r>
        <w:rPr>
          <w:rFonts w:hint="eastAsia" w:ascii="仿宋_GB2312" w:hAnsi="仿宋_GB2312" w:eastAsia="仿宋_GB2312" w:cs="仿宋_GB2312"/>
          <w:sz w:val="32"/>
          <w:szCs w:val="32"/>
        </w:rPr>
        <w:t>人的合法权益，保障</w:t>
      </w:r>
      <w:r>
        <w:rPr>
          <w:rFonts w:hint="eastAsia" w:ascii="仿宋_GB2312" w:hAnsi="仿宋_GB2312" w:eastAsia="仿宋_GB2312" w:cs="仿宋_GB2312"/>
          <w:sz w:val="32"/>
          <w:szCs w:val="32"/>
          <w:lang w:val="en-US" w:eastAsia="zh-CN"/>
        </w:rPr>
        <w:t>安置工作</w:t>
      </w:r>
      <w:r>
        <w:rPr>
          <w:rFonts w:hint="eastAsia" w:ascii="仿宋_GB2312" w:hAnsi="仿宋_GB2312" w:eastAsia="仿宋_GB2312" w:cs="仿宋_GB2312"/>
          <w:sz w:val="32"/>
          <w:szCs w:val="32"/>
        </w:rPr>
        <w:t>顺利有序进行，</w:t>
      </w:r>
      <w:r>
        <w:rPr>
          <w:rFonts w:hint="eastAsia" w:ascii="仿宋_GB2312" w:hAnsi="Times New Roman" w:eastAsia="仿宋_GB2312"/>
          <w:sz w:val="32"/>
        </w:rPr>
        <w:t>现对本</w:t>
      </w:r>
      <w:r>
        <w:rPr>
          <w:rFonts w:hint="eastAsia" w:ascii="仿宋_GB2312" w:hAnsi="Times New Roman" w:eastAsia="仿宋_GB2312"/>
          <w:sz w:val="32"/>
          <w:lang w:val="en-US" w:eastAsia="zh-CN"/>
        </w:rPr>
        <w:t>补充安置方案</w:t>
      </w:r>
      <w:r>
        <w:rPr>
          <w:rFonts w:hint="eastAsia" w:ascii="仿宋_GB2312" w:hAnsi="Times New Roman" w:eastAsia="仿宋_GB2312"/>
          <w:sz w:val="32"/>
        </w:rPr>
        <w:t>说明如下：</w:t>
      </w:r>
    </w:p>
    <w:p>
      <w:pPr>
        <w:widowControl w:val="0"/>
        <w:wordWrap/>
        <w:adjustRightInd/>
        <w:snapToGrid/>
        <w:spacing w:line="570" w:lineRule="exact"/>
        <w:ind w:left="0" w:leftChars="0" w:right="0" w:firstLine="640" w:firstLineChars="200"/>
        <w:jc w:val="left"/>
        <w:textAlignment w:val="auto"/>
        <w:outlineLvl w:val="9"/>
        <w:rPr>
          <w:rFonts w:hint="eastAsia" w:ascii="黑体" w:hAnsi="Times New Roman" w:eastAsia="黑体"/>
          <w:sz w:val="32"/>
          <w:szCs w:val="32"/>
        </w:rPr>
      </w:pPr>
      <w:r>
        <w:rPr>
          <w:rFonts w:hint="eastAsia" w:ascii="黑体" w:hAnsi="Times New Roman" w:eastAsia="黑体"/>
          <w:sz w:val="32"/>
          <w:szCs w:val="32"/>
        </w:rPr>
        <w:t>一、</w:t>
      </w:r>
      <w:r>
        <w:rPr>
          <w:rFonts w:hint="eastAsia" w:ascii="黑体" w:hAnsi="Times New Roman" w:eastAsia="黑体"/>
          <w:sz w:val="32"/>
          <w:szCs w:val="32"/>
          <w:lang w:val="en-US" w:eastAsia="zh-CN"/>
        </w:rPr>
        <w:t>制定文件的必要性和可行性</w:t>
      </w:r>
    </w:p>
    <w:p>
      <w:pPr>
        <w:widowControl w:val="0"/>
        <w:wordWrap/>
        <w:adjustRightInd/>
        <w:snapToGrid/>
        <w:spacing w:line="570" w:lineRule="exact"/>
        <w:ind w:left="0" w:leftChars="0" w:right="0" w:firstLine="640" w:firstLineChars="200"/>
        <w:jc w:val="lef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w:t>
      </w:r>
      <w:r>
        <w:rPr>
          <w:rFonts w:hint="default" w:ascii="Times New Roman" w:hAnsi="Times New Roman" w:eastAsia="仿宋_GB2312" w:cs="Times New Roman"/>
          <w:sz w:val="32"/>
          <w:szCs w:val="32"/>
        </w:rPr>
        <w:t>余政办〔2020〕32号关于印发《关于规范余杭区征迁集体所有土地房屋实施多高层公寓安置的实施意见》的通知</w:t>
      </w:r>
      <w:r>
        <w:rPr>
          <w:rFonts w:hint="default" w:ascii="Times New Roman" w:hAnsi="Times New Roman" w:eastAsia="仿宋_GB2312" w:cs="Times New Roman"/>
          <w:sz w:val="32"/>
          <w:szCs w:val="32"/>
          <w:lang w:val="en-US" w:eastAsia="zh-CN"/>
        </w:rPr>
        <w:t>，区安置房建设领办[2023]4号关于专题研究仓前街道货币化安置区片单价的专题会议纪要等文件，同步制定本补偿安置方案。</w:t>
      </w:r>
    </w:p>
    <w:p>
      <w:pPr>
        <w:widowControl w:val="0"/>
        <w:wordWrap/>
        <w:adjustRightInd/>
        <w:snapToGrid/>
        <w:spacing w:line="570" w:lineRule="exact"/>
        <w:ind w:left="0" w:leftChars="0" w:right="0" w:firstLine="640" w:firstLineChars="200"/>
        <w:jc w:val="left"/>
        <w:textAlignment w:val="auto"/>
        <w:outlineLvl w:val="9"/>
        <w:rPr>
          <w:rFonts w:hint="eastAsia" w:ascii="黑体" w:hAnsi="Times New Roman" w:eastAsia="黑体"/>
          <w:sz w:val="32"/>
          <w:szCs w:val="32"/>
          <w:lang w:val="en-US" w:eastAsia="zh-CN"/>
        </w:rPr>
      </w:pPr>
      <w:r>
        <w:rPr>
          <w:rFonts w:hint="eastAsia" w:ascii="黑体" w:hAnsi="Times New Roman" w:eastAsia="黑体"/>
          <w:sz w:val="32"/>
          <w:szCs w:val="32"/>
          <w:lang w:val="en-US" w:eastAsia="zh-CN"/>
        </w:rPr>
        <w:t>二、需要解决的主要问题</w:t>
      </w:r>
    </w:p>
    <w:p>
      <w:pPr>
        <w:widowControl w:val="0"/>
        <w:wordWrap/>
        <w:adjustRightInd/>
        <w:snapToGrid/>
        <w:spacing w:line="570" w:lineRule="exact"/>
        <w:ind w:left="0" w:leftChars="0" w:right="0" w:firstLine="640" w:firstLineChars="200"/>
        <w:jc w:val="left"/>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随着经济和社会的发展，为更好的满足群众多元化安置的需求，在原先仅实物安置的基础上，推出实物+货币补偿安置方案，有利于征迁安置工作的开展，保证区内建设项目的顺利推进。</w:t>
      </w:r>
    </w:p>
    <w:p>
      <w:pPr>
        <w:widowControl w:val="0"/>
        <w:wordWrap/>
        <w:adjustRightInd/>
        <w:snapToGrid/>
        <w:spacing w:line="570" w:lineRule="exact"/>
        <w:ind w:left="0" w:leftChars="0" w:right="0" w:firstLine="640" w:firstLineChars="200"/>
        <w:jc w:val="left"/>
        <w:textAlignment w:val="auto"/>
        <w:outlineLvl w:val="9"/>
        <w:rPr>
          <w:rFonts w:hint="eastAsia" w:ascii="黑体" w:hAnsi="Times New Roman" w:eastAsia="黑体"/>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黑体" w:hAnsi="Times New Roman" w:eastAsia="黑体"/>
          <w:sz w:val="32"/>
          <w:szCs w:val="32"/>
          <w:lang w:val="en-US" w:eastAsia="zh-CN"/>
        </w:rPr>
        <w:t>三、有关方面意见的协调处理情况和集体讨论情况</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街道办事处区域发展与治理中心严格按照区政府的文件、会议精神，形成初稿，完成了政策起草、意见征求等各项发文前置工作:</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1.2023年6月14日，街道班子联席会议讨论通过了制定《仓前街道集体土地上住宅房屋征迁实物+货币补偿安置方案》的相应事宜。</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2.2023年11月-2024年1月,街道办事处区域发展与治理中心从问题导向、需求导向、效果导向出发,结合仓前街道实际,完成了初稿拟定。</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3.2024年1月-2月，街道办事处区域发展与治理中心向街道法律顾问征求了专业意见，并送合法性审查中心进行审查，多次修改完善。</w:t>
      </w:r>
    </w:p>
    <w:p>
      <w:pPr>
        <w:widowControl w:val="0"/>
        <w:numPr>
          <w:numId w:val="0"/>
        </w:numPr>
        <w:wordWrap/>
        <w:adjustRightInd/>
        <w:snapToGrid/>
        <w:spacing w:line="570" w:lineRule="exact"/>
        <w:ind w:right="0" w:firstLine="640" w:firstLineChars="200"/>
        <w:jc w:val="left"/>
        <w:textAlignment w:val="auto"/>
        <w:outlineLvl w:val="9"/>
        <w:rPr>
          <w:rFonts w:hint="default"/>
        </w:rPr>
      </w:pPr>
      <w:r>
        <w:rPr>
          <w:rFonts w:hint="eastAsia" w:ascii="黑体" w:hAnsi="Times New Roman" w:eastAsia="黑体"/>
          <w:sz w:val="32"/>
          <w:szCs w:val="32"/>
          <w:lang w:val="en-US" w:eastAsia="zh-CN"/>
        </w:rPr>
        <w:t>四、</w:t>
      </w:r>
      <w:r>
        <w:rPr>
          <w:rFonts w:hint="eastAsia" w:ascii="黑体" w:hAnsi="Times New Roman" w:eastAsia="黑体"/>
          <w:sz w:val="32"/>
          <w:szCs w:val="32"/>
        </w:rPr>
        <w:t>拟规定的主要制度和拟采取的主要措施</w:t>
      </w:r>
    </w:p>
    <w:p>
      <w:pPr>
        <w:pStyle w:val="5"/>
        <w:widowControl w:val="0"/>
        <w:wordWrap/>
        <w:adjustRightInd/>
        <w:snapToGrid/>
        <w:spacing w:line="570" w:lineRule="exact"/>
        <w:ind w:left="0" w:leftChars="0" w:right="0"/>
        <w:jc w:val="left"/>
        <w:textAlignment w:val="auto"/>
        <w:outlineLvl w:val="9"/>
      </w:pPr>
      <w:r>
        <w:rPr>
          <w:rFonts w:hint="eastAsia" w:ascii="仿宋_GB2312" w:hAnsi="仿宋_GB2312" w:eastAsia="仿宋_GB2312" w:cs="仿宋_GB2312"/>
          <w:color w:val="000000"/>
          <w:sz w:val="32"/>
          <w:szCs w:val="32"/>
          <w:lang w:eastAsia="zh-CN"/>
        </w:rPr>
        <w:t>禁渔</w:t>
      </w:r>
      <w:r>
        <w:t>窗体顶端</w:t>
      </w:r>
    </w:p>
    <w:p>
      <w:pPr>
        <w:pStyle w:val="6"/>
        <w:widowControl w:val="0"/>
        <w:wordWrap/>
        <w:adjustRightInd/>
        <w:snapToGrid/>
        <w:spacing w:line="570" w:lineRule="exact"/>
        <w:ind w:left="0" w:leftChars="0" w:right="0"/>
        <w:jc w:val="left"/>
        <w:textAlignment w:val="auto"/>
        <w:outlineLvl w:val="9"/>
      </w:pPr>
      <w:r>
        <w:t>窗体底端</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一、适用范围</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仓前街道行政区域内集体土地上住宅房屋征迁补偿安置等事宜，适用本方案。</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二、安置方式和标准</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以节约用地、去化存量为原则，采取实物安置和货币安置相结合的安置方式。除特殊情况外，原则上被补偿人家庭以货币方式安置的面积为30平方米/人（含虚拟人口）。安置房源暂定为80、100、120、150平方米四种户型，具体以实际规划建设为准。</w:t>
      </w:r>
      <w:bookmarkStart w:id="0" w:name="_GoBack"/>
      <w:bookmarkEnd w:id="0"/>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三、安置人口及安置面积</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安置人口及安置面积按照余政办〔2020〕32号文件执行。文件中被补偿人家庭每人可增购的30平方米，因该30平方米为货币安置，故不再收取相应购房款。</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四、其他</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1、本方案未尽事宜，由仓前街道征迁及回迁安置领导小组按“一事一议”原则研究明确。</w:t>
      </w:r>
    </w:p>
    <w:p>
      <w:pPr>
        <w:widowControl w:val="0"/>
        <w:wordWrap/>
        <w:adjustRightInd/>
        <w:snapToGrid/>
        <w:spacing w:line="570" w:lineRule="exact"/>
        <w:ind w:left="0" w:leftChars="0" w:righ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2、本方案自发文之日起三十日后施行，由仓前街道办事处负责解释。</w:t>
      </w:r>
    </w:p>
    <w:p>
      <w:pPr>
        <w:widowControl w:val="0"/>
        <w:wordWrap/>
        <w:adjustRightInd/>
        <w:snapToGrid/>
        <w:spacing w:line="570" w:lineRule="exact"/>
        <w:ind w:left="0" w:leftChars="0" w:right="0" w:firstLine="640" w:firstLineChars="200"/>
        <w:jc w:val="left"/>
        <w:textAlignment w:val="auto"/>
        <w:outlineLvl w:val="9"/>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Verdana">
    <w:panose1 w:val="020B0604030504040204"/>
    <w:charset w:val="00"/>
    <w:family w:val="auto"/>
    <w:pitch w:val="default"/>
    <w:sig w:usb0="A10006FF" w:usb1="4000205B" w:usb2="00000010" w:usb3="00000000" w:csb0="2000019F" w:csb1="00000000"/>
  </w:font>
  <w:font w:name="Vani">
    <w:panose1 w:val="020B0502040204020203"/>
    <w:charset w:val="00"/>
    <w:family w:val="auto"/>
    <w:pitch w:val="default"/>
    <w:sig w:usb0="00200003" w:usb1="00000000" w:usb2="00000000" w:usb3="00000000" w:csb0="00000001" w:csb1="00000000"/>
  </w:font>
  <w:font w:name="Utsaah">
    <w:panose1 w:val="020B0604020202020204"/>
    <w:charset w:val="00"/>
    <w:family w:val="auto"/>
    <w:pitch w:val="default"/>
    <w:sig w:usb0="00008003" w:usb1="00000000" w:usb2="00000000" w:usb3="00000000" w:csb0="00000001"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Tahoma">
    <w:panose1 w:val="020B0604030504040204"/>
    <w:charset w:val="00"/>
    <w:family w:val="auto"/>
    <w:pitch w:val="default"/>
    <w:sig w:usb0="E1002EFF" w:usb1="C000605B" w:usb2="00000029" w:usb3="00000000" w:csb0="200101FF" w:csb1="20280000"/>
  </w:font>
  <w:font w:name="Sylfaen">
    <w:panose1 w:val="010A0502050306030303"/>
    <w:charset w:val="00"/>
    <w:family w:val="auto"/>
    <w:pitch w:val="default"/>
    <w:sig w:usb0="04000687" w:usb1="00000000" w:usb2="00000000" w:usb3="00000000" w:csb0="2000009F" w:csb1="00000000"/>
  </w:font>
  <w:font w:name="Simplified Arabic Fixed">
    <w:panose1 w:val="02070309020205020404"/>
    <w:charset w:val="00"/>
    <w:family w:val="auto"/>
    <w:pitch w:val="default"/>
    <w:sig w:usb0="00002003" w:usb1="00000000" w:usb2="00000000" w:usb3="00000000" w:csb0="00000041" w:csb1="20080000"/>
  </w:font>
  <w:font w:name="Simplified Arabic">
    <w:panose1 w:val="02020603050405020304"/>
    <w:charset w:val="00"/>
    <w:family w:val="auto"/>
    <w:pitch w:val="default"/>
    <w:sig w:usb0="00002003" w:usb1="00000000" w:usb2="00000000" w:usb3="00000000" w:csb0="00000041" w:csb1="20080000"/>
  </w:font>
  <w:font w:name="Shruti">
    <w:panose1 w:val="020B0502040204020203"/>
    <w:charset w:val="00"/>
    <w:family w:val="auto"/>
    <w:pitch w:val="default"/>
    <w:sig w:usb0="00040003" w:usb1="00000000" w:usb2="00000000" w:usb3="00000000" w:csb0="00000001" w:csb1="00000000"/>
  </w:font>
  <w:font w:name="Shonar Bangla">
    <w:panose1 w:val="020B0502040204020203"/>
    <w:charset w:val="00"/>
    <w:family w:val="auto"/>
    <w:pitch w:val="default"/>
    <w:sig w:usb0="00010003" w:usb1="00000000" w:usb2="00000000" w:usb3="00000000" w:csb0="00000001" w:csb1="00000000"/>
  </w:font>
  <w:font w:name="Segoe UI Symbol">
    <w:panose1 w:val="020B0502040204020203"/>
    <w:charset w:val="00"/>
    <w:family w:val="auto"/>
    <w:pitch w:val="default"/>
    <w:sig w:usb0="8000006F" w:usb1="1200FBEF" w:usb2="0064C000" w:usb3="00000002" w:csb0="00000001" w:csb1="40000000"/>
  </w:font>
  <w:font w:name="Segoe UI Semibold">
    <w:panose1 w:val="020B0702040204020203"/>
    <w:charset w:val="00"/>
    <w:family w:val="auto"/>
    <w:pitch w:val="default"/>
    <w:sig w:usb0="E00002FF" w:usb1="4000A47B" w:usb2="00000001" w:usb3="00000000" w:csb0="2000019F" w:csb1="00000000"/>
  </w:font>
  <w:font w:name="Segoe UI Light">
    <w:panose1 w:val="020B0502040204020203"/>
    <w:charset w:val="00"/>
    <w:family w:val="auto"/>
    <w:pitch w:val="default"/>
    <w:sig w:usb0="E00002FF" w:usb1="4000A47B"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NGNhYzFlYzczYWMyZDI3MWI1MDM2YTBiNzU5ODBlZGUifQ=="/>
  </w:docVars>
  <w:rsids>
    <w:rsidRoot w:val="287C700B"/>
    <w:rsid w:val="049C1795"/>
    <w:rsid w:val="287C700B"/>
    <w:rsid w:val="74FB479A"/>
    <w:rsid w:val="7E7A6FB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Style w:val="4"/>
      <w:tblLayout w:type="fixed"/>
      <w:tblCellMar>
        <w:top w:w="0" w:type="dxa"/>
        <w:left w:w="108" w:type="dxa"/>
        <w:bottom w:w="0" w:type="dxa"/>
        <w:right w:w="108" w:type="dxa"/>
      </w:tblCellMar>
    </w:tblPr>
    <w:tcPr>
      <w:textDirection w:val="lrTb"/>
    </w:tcPr>
  </w:style>
  <w:style w:type="paragraph" w:styleId="2">
    <w:name w:val="Normal (Web)"/>
    <w:basedOn w:val="1"/>
    <w:uiPriority w:val="0"/>
    <w:pPr>
      <w:spacing w:before="0" w:beforeAutospacing="1" w:after="0" w:afterAutospacing="1"/>
      <w:ind w:left="0" w:right="0"/>
      <w:jc w:val="left"/>
    </w:pPr>
    <w:rPr>
      <w:kern w:val="0"/>
      <w:sz w:val="24"/>
      <w:lang w:val="en-US" w:eastAsia="zh-CN"/>
    </w:rPr>
  </w:style>
  <w:style w:type="paragraph" w:customStyle="1" w:styleId="5">
    <w:name w:val="_Style 1"/>
    <w:basedOn w:val="1"/>
    <w:next w:val="1"/>
    <w:qFormat/>
    <w:uiPriority w:val="0"/>
    <w:pPr>
      <w:pBdr>
        <w:bottom w:val="single" w:color="auto" w:sz="6" w:space="1"/>
      </w:pBdr>
      <w:jc w:val="center"/>
    </w:pPr>
    <w:rPr>
      <w:rFonts w:ascii="Arial" w:eastAsia="宋体"/>
      <w:vanish/>
      <w:sz w:val="16"/>
    </w:rPr>
  </w:style>
  <w:style w:type="paragraph" w:customStyle="1" w:styleId="6">
    <w:name w:val="_Style 2"/>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2024-07-25T04:51:00Z</dcterms:created>
  <dc:creator>一条咸鱼</dc:creator>
  <cp:lastModifiedBy>tht</cp:lastModifiedBy>
  <dcterms:modified xsi:type="dcterms:W3CDTF">2024-07-25T07:37:43Z</dcterms:modified>
  <dc:title>《仓前街道集体土地上住宅房屋征迁实物+货币补偿安置方案》的起草说明</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y fmtid="{D5CDD505-2E9C-101B-9397-08002B2CF9AE}" pid="3" name="ICV">
    <vt:lpwstr>08A5D4E0E4564DB288353F6EDF97979F_11</vt:lpwstr>
  </property>
</Properties>
</file>