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rPr>
          <w:rFonts w:hint="eastAsia" w:ascii="方正小标宋_GBK" w:hAnsi="方正小标宋_GBK" w:eastAsia="方正小标宋_GBK" w:cs="方正小标宋_GBK"/>
          <w:b w:val="0"/>
          <w:bCs w:val="0"/>
          <w:color w:val="333333"/>
          <w:kern w:val="0"/>
          <w:sz w:val="44"/>
          <w:szCs w:val="44"/>
        </w:rPr>
      </w:pPr>
      <w:r>
        <w:rPr>
          <w:rFonts w:hint="eastAsia" w:ascii="方正小标宋_GBK" w:hAnsi="方正小标宋_GBK" w:eastAsia="方正小标宋_GBK" w:cs="方正小标宋_GBK"/>
          <w:b w:val="0"/>
          <w:bCs w:val="0"/>
          <w:color w:val="333333"/>
          <w:kern w:val="0"/>
          <w:sz w:val="44"/>
          <w:szCs w:val="44"/>
          <w:lang w:val="en-US" w:eastAsia="zh-CN"/>
        </w:rPr>
        <w:t>杭州西站枢纽管理委员会</w:t>
      </w:r>
      <w:r>
        <w:rPr>
          <w:rFonts w:hint="eastAsia" w:ascii="方正小标宋_GBK" w:hAnsi="方正小标宋_GBK" w:eastAsia="方正小标宋_GBK" w:cs="方正小标宋_GBK"/>
          <w:b w:val="0"/>
          <w:bCs w:val="0"/>
          <w:color w:val="333333"/>
          <w:kern w:val="0"/>
          <w:sz w:val="44"/>
          <w:szCs w:val="44"/>
        </w:rPr>
        <w:t>202</w:t>
      </w:r>
      <w:r>
        <w:rPr>
          <w:rFonts w:hint="eastAsia" w:ascii="方正小标宋_GBK" w:hAnsi="方正小标宋_GBK" w:eastAsia="方正小标宋_GBK" w:cs="方正小标宋_GBK"/>
          <w:b w:val="0"/>
          <w:bCs w:val="0"/>
          <w:color w:val="333333"/>
          <w:kern w:val="0"/>
          <w:sz w:val="44"/>
          <w:szCs w:val="44"/>
          <w:lang w:val="en-US" w:eastAsia="zh-CN"/>
        </w:rPr>
        <w:t>3</w:t>
      </w:r>
      <w:r>
        <w:rPr>
          <w:rFonts w:hint="eastAsia" w:ascii="方正小标宋_GBK" w:hAnsi="方正小标宋_GBK" w:eastAsia="方正小标宋_GBK" w:cs="方正小标宋_GBK"/>
          <w:b w:val="0"/>
          <w:bCs w:val="0"/>
          <w:color w:val="333333"/>
          <w:kern w:val="0"/>
          <w:sz w:val="44"/>
          <w:szCs w:val="44"/>
        </w:rPr>
        <w:t>年度政府信息公开工作年度报告</w:t>
      </w:r>
      <w:bookmarkStart w:id="0" w:name="_GoBack"/>
      <w:bookmarkEnd w:id="0"/>
    </w:p>
    <w:p>
      <w:pPr>
        <w:widowControl/>
        <w:shd w:val="clear" w:color="auto" w:fill="FFFFFF"/>
        <w:jc w:val="center"/>
        <w:rPr>
          <w:rFonts w:hint="eastAsia" w:ascii="仿宋_GB2312" w:hAnsi="仿宋_GB2312" w:eastAsia="仿宋_GB2312" w:cs="仿宋_GB2312"/>
          <w:b/>
          <w:bCs/>
          <w:color w:val="333333"/>
          <w:kern w:val="0"/>
          <w:sz w:val="36"/>
          <w:szCs w:val="36"/>
        </w:rPr>
      </w:pPr>
    </w:p>
    <w:p>
      <w:pPr>
        <w:widowControl/>
        <w:shd w:val="clear" w:color="auto" w:fill="FFFFFF"/>
        <w:ind w:firstLine="480"/>
        <w:rPr>
          <w:rFonts w:hint="eastAsia" w:ascii="仿宋_GB2312" w:hAnsi="仿宋_GB2312" w:eastAsia="仿宋_GB2312" w:cs="仿宋_GB2312"/>
          <w:b w:val="0"/>
          <w:bCs w:val="0"/>
          <w:color w:val="333333"/>
          <w:kern w:val="0"/>
          <w:sz w:val="32"/>
          <w:szCs w:val="32"/>
        </w:rPr>
      </w:pPr>
      <w:r>
        <w:rPr>
          <w:rFonts w:hint="eastAsia" w:ascii="仿宋_GB2312" w:hAnsi="仿宋_GB2312" w:eastAsia="仿宋_GB2312" w:cs="仿宋_GB2312"/>
          <w:b w:val="0"/>
          <w:bCs w:val="0"/>
          <w:i w:val="0"/>
          <w:caps w:val="0"/>
          <w:color w:val="333333"/>
          <w:spacing w:val="0"/>
          <w:sz w:val="32"/>
          <w:szCs w:val="32"/>
          <w:shd w:val="clear" w:color="auto" w:fill="FFFFFF"/>
        </w:rPr>
        <w:t>根据《中华人民共和国政府信息公开条例》，特向社会公布</w:t>
      </w:r>
      <w:r>
        <w:rPr>
          <w:rFonts w:hint="eastAsia" w:ascii="仿宋_GB2312" w:hAnsi="仿宋_GB2312" w:eastAsia="仿宋_GB2312" w:cs="仿宋_GB2312"/>
          <w:b w:val="0"/>
          <w:bCs w:val="0"/>
          <w:color w:val="333333"/>
          <w:kern w:val="0"/>
          <w:sz w:val="32"/>
          <w:szCs w:val="32"/>
          <w:lang w:val="en-US" w:eastAsia="zh-CN"/>
        </w:rPr>
        <w:t>杭州西站枢纽管理委员会</w:t>
      </w:r>
      <w:r>
        <w:rPr>
          <w:rFonts w:hint="eastAsia" w:ascii="仿宋_GB2312" w:hAnsi="仿宋_GB2312" w:eastAsia="仿宋_GB2312" w:cs="仿宋_GB2312"/>
          <w:b w:val="0"/>
          <w:bCs w:val="0"/>
          <w:i w:val="0"/>
          <w:caps w:val="0"/>
          <w:color w:val="333333"/>
          <w:spacing w:val="0"/>
          <w:sz w:val="32"/>
          <w:szCs w:val="32"/>
          <w:shd w:val="clear" w:color="auto" w:fill="FFFFFF"/>
        </w:rPr>
        <w:t>202</w:t>
      </w:r>
      <w:r>
        <w:rPr>
          <w:rFonts w:hint="eastAsia" w:ascii="仿宋_GB2312" w:hAnsi="仿宋_GB2312" w:eastAsia="仿宋_GB2312" w:cs="仿宋_GB2312"/>
          <w:b w:val="0"/>
          <w:bCs w:val="0"/>
          <w:i w:val="0"/>
          <w:caps w:val="0"/>
          <w:color w:val="333333"/>
          <w:spacing w:val="0"/>
          <w:sz w:val="32"/>
          <w:szCs w:val="32"/>
          <w:shd w:val="clear" w:color="auto" w:fill="FFFFFF"/>
          <w:lang w:val="en-US" w:eastAsia="zh-CN"/>
        </w:rPr>
        <w:t>3</w:t>
      </w:r>
      <w:r>
        <w:rPr>
          <w:rFonts w:hint="eastAsia" w:ascii="仿宋_GB2312" w:hAnsi="仿宋_GB2312" w:eastAsia="仿宋_GB2312" w:cs="仿宋_GB2312"/>
          <w:b w:val="0"/>
          <w:bCs w:val="0"/>
          <w:i w:val="0"/>
          <w:caps w:val="0"/>
          <w:color w:val="333333"/>
          <w:spacing w:val="0"/>
          <w:sz w:val="32"/>
          <w:szCs w:val="32"/>
          <w:shd w:val="clear" w:color="auto" w:fill="FFFFFF"/>
        </w:rPr>
        <w:t>年度政府信息公开工作年度报告。本报告由总体情况、主动公开政府信息情况等六个部分组成。本报告中所列数据的统计期限自202</w:t>
      </w:r>
      <w:r>
        <w:rPr>
          <w:rFonts w:hint="eastAsia" w:ascii="仿宋_GB2312" w:hAnsi="仿宋_GB2312" w:eastAsia="仿宋_GB2312" w:cs="仿宋_GB2312"/>
          <w:b w:val="0"/>
          <w:bCs w:val="0"/>
          <w:i w:val="0"/>
          <w:caps w:val="0"/>
          <w:color w:val="333333"/>
          <w:spacing w:val="0"/>
          <w:sz w:val="32"/>
          <w:szCs w:val="32"/>
          <w:shd w:val="clear" w:color="auto" w:fill="FFFFFF"/>
          <w:lang w:val="en-US" w:eastAsia="zh-CN"/>
        </w:rPr>
        <w:t>3</w:t>
      </w:r>
      <w:r>
        <w:rPr>
          <w:rFonts w:hint="eastAsia" w:ascii="仿宋_GB2312" w:hAnsi="仿宋_GB2312" w:eastAsia="仿宋_GB2312" w:cs="仿宋_GB2312"/>
          <w:b w:val="0"/>
          <w:bCs w:val="0"/>
          <w:i w:val="0"/>
          <w:caps w:val="0"/>
          <w:color w:val="333333"/>
          <w:spacing w:val="0"/>
          <w:sz w:val="32"/>
          <w:szCs w:val="32"/>
          <w:shd w:val="clear" w:color="auto" w:fill="FFFFFF"/>
        </w:rPr>
        <w:t>年1月1日起至202</w:t>
      </w:r>
      <w:r>
        <w:rPr>
          <w:rFonts w:hint="eastAsia" w:ascii="仿宋_GB2312" w:hAnsi="仿宋_GB2312" w:eastAsia="仿宋_GB2312" w:cs="仿宋_GB2312"/>
          <w:b w:val="0"/>
          <w:bCs w:val="0"/>
          <w:i w:val="0"/>
          <w:caps w:val="0"/>
          <w:color w:val="333333"/>
          <w:spacing w:val="0"/>
          <w:sz w:val="32"/>
          <w:szCs w:val="32"/>
          <w:shd w:val="clear" w:color="auto" w:fill="FFFFFF"/>
          <w:lang w:val="en-US" w:eastAsia="zh-CN"/>
        </w:rPr>
        <w:t>3</w:t>
      </w:r>
      <w:r>
        <w:rPr>
          <w:rFonts w:hint="eastAsia" w:ascii="仿宋_GB2312" w:hAnsi="仿宋_GB2312" w:eastAsia="仿宋_GB2312" w:cs="仿宋_GB2312"/>
          <w:b w:val="0"/>
          <w:bCs w:val="0"/>
          <w:i w:val="0"/>
          <w:caps w:val="0"/>
          <w:color w:val="333333"/>
          <w:spacing w:val="0"/>
          <w:sz w:val="32"/>
          <w:szCs w:val="32"/>
          <w:shd w:val="clear" w:color="auto" w:fill="FFFFFF"/>
        </w:rPr>
        <w:t>年12月31日止。</w:t>
      </w:r>
    </w:p>
    <w:p>
      <w:pPr>
        <w:widowControl/>
        <w:numPr>
          <w:ilvl w:val="0"/>
          <w:numId w:val="1"/>
        </w:numPr>
        <w:shd w:val="clear" w:color="auto" w:fill="FFFFFF"/>
        <w:ind w:firstLine="480"/>
        <w:rPr>
          <w:rFonts w:hint="eastAsia" w:ascii="黑体" w:hAnsi="黑体" w:eastAsia="黑体" w:cs="黑体"/>
          <w:b w:val="0"/>
          <w:bCs w:val="0"/>
          <w:color w:val="333333"/>
          <w:kern w:val="0"/>
          <w:sz w:val="32"/>
          <w:szCs w:val="32"/>
        </w:rPr>
      </w:pPr>
      <w:r>
        <w:rPr>
          <w:rFonts w:hint="eastAsia" w:ascii="黑体" w:hAnsi="黑体" w:eastAsia="黑体" w:cs="黑体"/>
          <w:b w:val="0"/>
          <w:bCs w:val="0"/>
          <w:color w:val="333333"/>
          <w:kern w:val="0"/>
          <w:sz w:val="32"/>
          <w:szCs w:val="32"/>
        </w:rPr>
        <w:t>总体情况</w:t>
      </w:r>
    </w:p>
    <w:p>
      <w:pPr>
        <w:widowControl/>
        <w:numPr>
          <w:ilvl w:val="0"/>
          <w:numId w:val="0"/>
        </w:numPr>
        <w:shd w:val="clear" w:color="auto" w:fill="FFFFFF"/>
        <w:rPr>
          <w:rFonts w:hint="eastAsia" w:ascii="仿宋_GB2312" w:hAnsi="仿宋_GB2312" w:eastAsia="仿宋_GB2312" w:cs="仿宋_GB2312"/>
          <w:b/>
          <w:bCs/>
          <w:color w:val="333333"/>
          <w:kern w:val="0"/>
          <w:sz w:val="27"/>
          <w:szCs w:val="27"/>
          <w:lang w:eastAsia="zh-CN"/>
        </w:rPr>
      </w:pPr>
      <w:r>
        <w:rPr>
          <w:rFonts w:hint="eastAsia" w:ascii="微软雅黑" w:hAnsi="微软雅黑" w:eastAsia="微软雅黑" w:cs="微软雅黑"/>
          <w:i w:val="0"/>
          <w:caps w:val="0"/>
          <w:color w:val="030303"/>
          <w:spacing w:val="0"/>
          <w:sz w:val="21"/>
          <w:szCs w:val="21"/>
          <w:shd w:val="clear" w:color="auto" w:fill="FFFFFF"/>
          <w:lang w:val="en-US" w:eastAsia="zh-CN"/>
        </w:rPr>
        <w:t xml:space="preserve">   </w:t>
      </w:r>
      <w:r>
        <w:rPr>
          <w:rFonts w:hint="eastAsia" w:ascii="仿宋_GB2312" w:hAnsi="仿宋_GB2312" w:eastAsia="仿宋_GB2312" w:cs="仿宋_GB2312"/>
          <w:b w:val="0"/>
          <w:bCs w:val="0"/>
          <w:i w:val="0"/>
          <w:caps w:val="0"/>
          <w:color w:val="333333"/>
          <w:spacing w:val="0"/>
          <w:sz w:val="32"/>
          <w:szCs w:val="32"/>
          <w:shd w:val="clear" w:color="auto" w:fill="FFFFFF"/>
          <w:lang w:val="en-US" w:eastAsia="zh-CN"/>
        </w:rPr>
        <w:t xml:space="preserve"> </w:t>
      </w:r>
      <w:r>
        <w:rPr>
          <w:rFonts w:hint="eastAsia" w:ascii="仿宋_GB2312" w:hAnsi="仿宋_GB2312" w:eastAsia="仿宋_GB2312" w:cs="仿宋_GB2312"/>
          <w:b w:val="0"/>
          <w:bCs w:val="0"/>
          <w:i w:val="0"/>
          <w:caps w:val="0"/>
          <w:color w:val="333333"/>
          <w:spacing w:val="0"/>
          <w:sz w:val="32"/>
          <w:szCs w:val="32"/>
          <w:shd w:val="clear" w:color="auto" w:fill="FFFFFF"/>
        </w:rPr>
        <w:t>202</w:t>
      </w:r>
      <w:r>
        <w:rPr>
          <w:rFonts w:hint="eastAsia" w:ascii="仿宋_GB2312" w:hAnsi="仿宋_GB2312" w:eastAsia="仿宋_GB2312" w:cs="仿宋_GB2312"/>
          <w:b w:val="0"/>
          <w:bCs w:val="0"/>
          <w:i w:val="0"/>
          <w:caps w:val="0"/>
          <w:color w:val="333333"/>
          <w:spacing w:val="0"/>
          <w:sz w:val="32"/>
          <w:szCs w:val="32"/>
          <w:shd w:val="clear" w:color="auto" w:fill="FFFFFF"/>
          <w:lang w:val="en-US" w:eastAsia="zh-CN"/>
        </w:rPr>
        <w:t>3</w:t>
      </w:r>
      <w:r>
        <w:rPr>
          <w:rFonts w:hint="eastAsia" w:ascii="仿宋_GB2312" w:hAnsi="仿宋_GB2312" w:eastAsia="仿宋_GB2312" w:cs="仿宋_GB2312"/>
          <w:b w:val="0"/>
          <w:bCs w:val="0"/>
          <w:i w:val="0"/>
          <w:caps w:val="0"/>
          <w:color w:val="333333"/>
          <w:spacing w:val="0"/>
          <w:sz w:val="32"/>
          <w:szCs w:val="32"/>
          <w:shd w:val="clear" w:color="auto" w:fill="FFFFFF"/>
        </w:rPr>
        <w:t>年，</w:t>
      </w:r>
      <w:r>
        <w:rPr>
          <w:rFonts w:hint="eastAsia" w:ascii="仿宋_GB2312" w:hAnsi="仿宋_GB2312" w:eastAsia="仿宋_GB2312" w:cs="仿宋_GB2312"/>
          <w:b w:val="0"/>
          <w:bCs w:val="0"/>
          <w:i w:val="0"/>
          <w:caps w:val="0"/>
          <w:color w:val="333333"/>
          <w:spacing w:val="0"/>
          <w:sz w:val="32"/>
          <w:szCs w:val="32"/>
          <w:shd w:val="clear" w:color="auto" w:fill="FFFFFF"/>
          <w:lang w:eastAsia="zh-CN"/>
        </w:rPr>
        <w:t>西站枢纽管委会</w:t>
      </w:r>
      <w:r>
        <w:rPr>
          <w:rFonts w:hint="eastAsia" w:ascii="仿宋_GB2312" w:hAnsi="仿宋_GB2312" w:eastAsia="仿宋_GB2312" w:cs="仿宋_GB2312"/>
          <w:b w:val="0"/>
          <w:bCs w:val="0"/>
          <w:i w:val="0"/>
          <w:caps w:val="0"/>
          <w:color w:val="333333"/>
          <w:spacing w:val="0"/>
          <w:sz w:val="32"/>
          <w:szCs w:val="32"/>
          <w:shd w:val="clear" w:color="auto" w:fill="FFFFFF"/>
        </w:rPr>
        <w:t>全面贯彻《中华人民共和国政府信息公开条例》、《浙江省政府信息公开暂行办法》，坚持“公开为常态、不公开为例外”的原则</w:t>
      </w:r>
      <w:r>
        <w:rPr>
          <w:rFonts w:hint="eastAsia" w:ascii="仿宋_GB2312" w:hAnsi="仿宋_GB2312" w:eastAsia="仿宋_GB2312" w:cs="仿宋_GB2312"/>
          <w:b w:val="0"/>
          <w:bCs w:val="0"/>
          <w:i w:val="0"/>
          <w:caps w:val="0"/>
          <w:color w:val="333333"/>
          <w:spacing w:val="0"/>
          <w:sz w:val="32"/>
          <w:szCs w:val="32"/>
          <w:shd w:val="clear" w:color="auto" w:fill="FFFFFF"/>
          <w:lang w:eastAsia="zh-CN"/>
        </w:rPr>
        <w:t>，</w:t>
      </w:r>
      <w:r>
        <w:rPr>
          <w:rFonts w:hint="eastAsia" w:ascii="仿宋_GB2312" w:hAnsi="仿宋_GB2312" w:eastAsia="仿宋_GB2312" w:cs="仿宋_GB2312"/>
          <w:b w:val="0"/>
          <w:bCs w:val="0"/>
          <w:i w:val="0"/>
          <w:caps w:val="0"/>
          <w:color w:val="333333"/>
          <w:spacing w:val="0"/>
          <w:sz w:val="32"/>
          <w:szCs w:val="32"/>
          <w:shd w:val="clear" w:color="auto" w:fill="FFFFFF"/>
        </w:rPr>
        <w:t>认真落实区政府关于政府信息公开工作相关要求，扎实推进政府信息公开工作</w:t>
      </w:r>
      <w:r>
        <w:rPr>
          <w:rFonts w:hint="eastAsia" w:ascii="仿宋_GB2312" w:hAnsi="仿宋_GB2312" w:eastAsia="仿宋_GB2312" w:cs="仿宋_GB2312"/>
          <w:b w:val="0"/>
          <w:bCs w:val="0"/>
          <w:i w:val="0"/>
          <w:caps w:val="0"/>
          <w:color w:val="333333"/>
          <w:spacing w:val="0"/>
          <w:sz w:val="32"/>
          <w:szCs w:val="32"/>
          <w:shd w:val="clear" w:color="auto" w:fill="FFFFFF"/>
          <w:lang w:eastAsia="zh-CN"/>
        </w:rPr>
        <w:t>，</w:t>
      </w:r>
      <w:r>
        <w:rPr>
          <w:rFonts w:hint="eastAsia" w:ascii="仿宋_GB2312" w:hAnsi="仿宋_GB2312" w:eastAsia="仿宋_GB2312" w:cs="仿宋_GB2312"/>
          <w:b w:val="0"/>
          <w:bCs w:val="0"/>
          <w:i w:val="0"/>
          <w:caps w:val="0"/>
          <w:color w:val="333333"/>
          <w:spacing w:val="0"/>
          <w:sz w:val="32"/>
          <w:szCs w:val="32"/>
          <w:shd w:val="clear" w:color="auto" w:fill="FFFFFF"/>
        </w:rPr>
        <w:t>结合本年度工作实际，特编制杭州西站枢纽管理委员会2023年度政府信息公开工作年度报告，并向社会公布。</w:t>
      </w:r>
    </w:p>
    <w:p>
      <w:pPr>
        <w:widowControl/>
        <w:shd w:val="clear" w:color="auto" w:fill="FFFFFF"/>
        <w:ind w:firstLine="48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（一）主动公开</w:t>
      </w:r>
    </w:p>
    <w:p>
      <w:pPr>
        <w:widowControl/>
        <w:numPr>
          <w:ilvl w:val="0"/>
          <w:numId w:val="0"/>
        </w:numPr>
        <w:shd w:val="clear" w:color="auto" w:fill="FFFFFF"/>
        <w:rPr>
          <w:rFonts w:hint="eastAsia" w:ascii="仿宋_GB2312" w:hAnsi="仿宋_GB2312" w:eastAsia="仿宋_GB2312" w:cs="仿宋_GB2312"/>
          <w:b w:val="0"/>
          <w:bCs w:val="0"/>
          <w:i w:val="0"/>
          <w:caps w:val="0"/>
          <w:color w:val="333333"/>
          <w:spacing w:val="0"/>
          <w:sz w:val="32"/>
          <w:szCs w:val="32"/>
          <w:shd w:val="clear" w:color="auto" w:fill="FFFFFF"/>
        </w:rPr>
      </w:pPr>
      <w:r>
        <w:rPr>
          <w:rFonts w:hint="eastAsia" w:ascii="仿宋_GB2312" w:hAnsi="仿宋_GB2312" w:eastAsia="仿宋_GB2312" w:cs="仿宋_GB2312"/>
          <w:b w:val="0"/>
          <w:bCs w:val="0"/>
          <w:i w:val="0"/>
          <w:caps w:val="0"/>
          <w:color w:val="333333"/>
          <w:spacing w:val="0"/>
          <w:sz w:val="32"/>
          <w:szCs w:val="32"/>
          <w:shd w:val="clear" w:color="auto" w:fill="FFFFFF"/>
          <w:lang w:val="en-US" w:eastAsia="zh-CN"/>
        </w:rPr>
        <w:t xml:space="preserve">    </w:t>
      </w:r>
      <w:r>
        <w:rPr>
          <w:rFonts w:hint="eastAsia" w:ascii="仿宋_GB2312" w:hAnsi="仿宋_GB2312" w:eastAsia="仿宋_GB2312" w:cs="仿宋_GB2312"/>
          <w:b w:val="0"/>
          <w:bCs w:val="0"/>
          <w:i w:val="0"/>
          <w:caps w:val="0"/>
          <w:color w:val="333333"/>
          <w:spacing w:val="0"/>
          <w:sz w:val="32"/>
          <w:szCs w:val="32"/>
          <w:shd w:val="clear" w:color="auto" w:fill="FFFFFF"/>
        </w:rPr>
        <w:t> 坚持以群众需求为导向，按照“应公开、尽公开”</w:t>
      </w:r>
      <w:r>
        <w:rPr>
          <w:rFonts w:hint="eastAsia" w:ascii="仿宋_GB2312" w:hAnsi="仿宋_GB2312" w:eastAsia="仿宋_GB2312" w:cs="仿宋_GB2312"/>
          <w:b w:val="0"/>
          <w:bCs w:val="0"/>
          <w:i w:val="0"/>
          <w:caps w:val="0"/>
          <w:color w:val="333333"/>
          <w:spacing w:val="0"/>
          <w:sz w:val="32"/>
          <w:szCs w:val="32"/>
          <w:shd w:val="clear" w:color="auto" w:fill="FFFFFF"/>
          <w:lang w:eastAsia="zh-CN"/>
        </w:rPr>
        <w:t>原则</w:t>
      </w:r>
      <w:r>
        <w:rPr>
          <w:rFonts w:hint="eastAsia" w:ascii="仿宋_GB2312" w:hAnsi="仿宋_GB2312" w:eastAsia="仿宋_GB2312" w:cs="仿宋_GB2312"/>
          <w:b w:val="0"/>
          <w:bCs w:val="0"/>
          <w:i w:val="0"/>
          <w:caps w:val="0"/>
          <w:color w:val="333333"/>
          <w:spacing w:val="0"/>
          <w:sz w:val="32"/>
          <w:szCs w:val="32"/>
          <w:shd w:val="clear" w:color="auto" w:fill="FFFFFF"/>
        </w:rPr>
        <w:t>，通过政府门户网站、政务新媒体全面公开工作动态</w:t>
      </w:r>
      <w:r>
        <w:rPr>
          <w:rFonts w:hint="eastAsia" w:ascii="仿宋_GB2312" w:hAnsi="仿宋_GB2312" w:eastAsia="仿宋_GB2312" w:cs="仿宋_GB2312"/>
          <w:b w:val="0"/>
          <w:bCs w:val="0"/>
          <w:i w:val="0"/>
          <w:caps w:val="0"/>
          <w:color w:val="333333"/>
          <w:spacing w:val="0"/>
          <w:sz w:val="32"/>
          <w:szCs w:val="32"/>
          <w:shd w:val="clear" w:color="auto" w:fill="FFFFFF"/>
          <w:lang w:eastAsia="zh-CN"/>
        </w:rPr>
        <w:t>。在</w:t>
      </w:r>
      <w:r>
        <w:rPr>
          <w:rFonts w:hint="eastAsia" w:ascii="仿宋_GB2312" w:hAnsi="仿宋_GB2312" w:eastAsia="仿宋_GB2312" w:cs="仿宋_GB2312"/>
          <w:b w:val="0"/>
          <w:bCs w:val="0"/>
          <w:i w:val="0"/>
          <w:caps w:val="0"/>
          <w:color w:val="333333"/>
          <w:spacing w:val="0"/>
          <w:sz w:val="32"/>
          <w:szCs w:val="32"/>
          <w:shd w:val="clear" w:color="auto" w:fill="FFFFFF"/>
        </w:rPr>
        <w:t>“杭州余杭”门户网站共</w:t>
      </w:r>
      <w:r>
        <w:rPr>
          <w:rFonts w:hint="eastAsia" w:ascii="仿宋_GB2312" w:hAnsi="仿宋_GB2312" w:eastAsia="仿宋_GB2312" w:cs="仿宋_GB2312"/>
          <w:b w:val="0"/>
          <w:bCs w:val="0"/>
          <w:i w:val="0"/>
          <w:caps w:val="0"/>
          <w:color w:val="333333"/>
          <w:spacing w:val="0"/>
          <w:sz w:val="32"/>
          <w:szCs w:val="32"/>
          <w:shd w:val="clear" w:color="auto" w:fill="FFFFFF"/>
          <w:lang w:eastAsia="zh-CN"/>
        </w:rPr>
        <w:t>计</w:t>
      </w:r>
      <w:r>
        <w:rPr>
          <w:rFonts w:hint="eastAsia" w:ascii="仿宋_GB2312" w:hAnsi="仿宋_GB2312" w:eastAsia="仿宋_GB2312" w:cs="仿宋_GB2312"/>
          <w:b w:val="0"/>
          <w:bCs w:val="0"/>
          <w:i w:val="0"/>
          <w:caps w:val="0"/>
          <w:color w:val="333333"/>
          <w:spacing w:val="0"/>
          <w:sz w:val="32"/>
          <w:szCs w:val="32"/>
          <w:shd w:val="clear" w:color="auto" w:fill="FFFFFF"/>
        </w:rPr>
        <w:t>公开政府信息</w:t>
      </w:r>
      <w:r>
        <w:rPr>
          <w:rFonts w:hint="eastAsia" w:ascii="仿宋_GB2312" w:hAnsi="仿宋_GB2312" w:eastAsia="仿宋_GB2312" w:cs="仿宋_GB2312"/>
          <w:b w:val="0"/>
          <w:bCs w:val="0"/>
          <w:i w:val="0"/>
          <w:caps w:val="0"/>
          <w:color w:val="333333"/>
          <w:spacing w:val="0"/>
          <w:sz w:val="32"/>
          <w:szCs w:val="32"/>
          <w:shd w:val="clear" w:color="auto" w:fill="FFFFFF"/>
          <w:lang w:val="en-US" w:eastAsia="zh-CN"/>
        </w:rPr>
        <w:t>33</w:t>
      </w:r>
      <w:r>
        <w:rPr>
          <w:rFonts w:hint="eastAsia" w:ascii="仿宋_GB2312" w:hAnsi="仿宋_GB2312" w:eastAsia="仿宋_GB2312" w:cs="仿宋_GB2312"/>
          <w:b w:val="0"/>
          <w:bCs w:val="0"/>
          <w:i w:val="0"/>
          <w:caps w:val="0"/>
          <w:color w:val="333333"/>
          <w:spacing w:val="0"/>
          <w:sz w:val="32"/>
          <w:szCs w:val="32"/>
          <w:shd w:val="clear" w:color="auto" w:fill="FFFFFF"/>
        </w:rPr>
        <w:t>条，其中</w:t>
      </w:r>
      <w:r>
        <w:rPr>
          <w:rFonts w:hint="eastAsia" w:ascii="仿宋_GB2312" w:hAnsi="仿宋_GB2312" w:eastAsia="仿宋_GB2312" w:cs="仿宋_GB2312"/>
          <w:b w:val="0"/>
          <w:bCs w:val="0"/>
          <w:i w:val="0"/>
          <w:caps w:val="0"/>
          <w:color w:val="333333"/>
          <w:spacing w:val="0"/>
          <w:sz w:val="32"/>
          <w:szCs w:val="32"/>
          <w:shd w:val="clear" w:color="auto" w:fill="FFFFFF"/>
          <w:lang w:eastAsia="zh-CN"/>
        </w:rPr>
        <w:t>部门文件</w:t>
      </w:r>
      <w:r>
        <w:rPr>
          <w:rFonts w:hint="eastAsia" w:ascii="仿宋_GB2312" w:hAnsi="仿宋_GB2312" w:eastAsia="仿宋_GB2312" w:cs="仿宋_GB2312"/>
          <w:b w:val="0"/>
          <w:bCs w:val="0"/>
          <w:i w:val="0"/>
          <w:caps w:val="0"/>
          <w:color w:val="333333"/>
          <w:spacing w:val="0"/>
          <w:sz w:val="32"/>
          <w:szCs w:val="32"/>
          <w:shd w:val="clear" w:color="auto" w:fill="FFFFFF"/>
        </w:rPr>
        <w:t>1条、财政信息</w:t>
      </w:r>
      <w:r>
        <w:rPr>
          <w:rFonts w:hint="eastAsia" w:ascii="仿宋_GB2312" w:hAnsi="仿宋_GB2312" w:eastAsia="仿宋_GB2312" w:cs="仿宋_GB2312"/>
          <w:b w:val="0"/>
          <w:bCs w:val="0"/>
          <w:i w:val="0"/>
          <w:caps w:val="0"/>
          <w:color w:val="333333"/>
          <w:spacing w:val="0"/>
          <w:sz w:val="32"/>
          <w:szCs w:val="32"/>
          <w:shd w:val="clear" w:color="auto" w:fill="FFFFFF"/>
          <w:lang w:eastAsia="zh-CN"/>
        </w:rPr>
        <w:t>部门</w:t>
      </w:r>
      <w:r>
        <w:rPr>
          <w:rFonts w:hint="eastAsia" w:ascii="仿宋_GB2312" w:hAnsi="仿宋_GB2312" w:eastAsia="仿宋_GB2312" w:cs="仿宋_GB2312"/>
          <w:b w:val="0"/>
          <w:bCs w:val="0"/>
          <w:i w:val="0"/>
          <w:caps w:val="0"/>
          <w:color w:val="333333"/>
          <w:spacing w:val="0"/>
          <w:sz w:val="32"/>
          <w:szCs w:val="32"/>
          <w:shd w:val="clear" w:color="auto" w:fill="FFFFFF"/>
        </w:rPr>
        <w:t>预决算信息2条、人事信息</w:t>
      </w:r>
      <w:r>
        <w:rPr>
          <w:rFonts w:hint="eastAsia" w:ascii="仿宋_GB2312" w:hAnsi="仿宋_GB2312" w:eastAsia="仿宋_GB2312" w:cs="仿宋_GB2312"/>
          <w:b w:val="0"/>
          <w:bCs w:val="0"/>
          <w:i w:val="0"/>
          <w:caps w:val="0"/>
          <w:color w:val="333333"/>
          <w:spacing w:val="0"/>
          <w:sz w:val="32"/>
          <w:szCs w:val="32"/>
          <w:shd w:val="clear" w:color="auto" w:fill="FFFFFF"/>
          <w:lang w:val="en-US" w:eastAsia="zh-CN"/>
        </w:rPr>
        <w:t>1</w:t>
      </w:r>
      <w:r>
        <w:rPr>
          <w:rFonts w:hint="eastAsia" w:ascii="仿宋_GB2312" w:hAnsi="仿宋_GB2312" w:eastAsia="仿宋_GB2312" w:cs="仿宋_GB2312"/>
          <w:b w:val="0"/>
          <w:bCs w:val="0"/>
          <w:i w:val="0"/>
          <w:caps w:val="0"/>
          <w:color w:val="333333"/>
          <w:spacing w:val="0"/>
          <w:sz w:val="32"/>
          <w:szCs w:val="32"/>
          <w:shd w:val="clear" w:color="auto" w:fill="FFFFFF"/>
        </w:rPr>
        <w:t>条、</w:t>
      </w:r>
      <w:r>
        <w:rPr>
          <w:rFonts w:hint="eastAsia" w:ascii="仿宋_GB2312" w:hAnsi="仿宋_GB2312" w:eastAsia="仿宋_GB2312" w:cs="仿宋_GB2312"/>
          <w:b w:val="0"/>
          <w:bCs w:val="0"/>
          <w:i w:val="0"/>
          <w:caps w:val="0"/>
          <w:color w:val="333333"/>
          <w:spacing w:val="0"/>
          <w:sz w:val="32"/>
          <w:szCs w:val="32"/>
          <w:shd w:val="clear" w:color="auto" w:fill="FFFFFF"/>
          <w:lang w:eastAsia="zh-CN"/>
        </w:rPr>
        <w:t>招标公告</w:t>
      </w:r>
      <w:r>
        <w:rPr>
          <w:rFonts w:hint="eastAsia" w:ascii="仿宋_GB2312" w:hAnsi="仿宋_GB2312" w:eastAsia="仿宋_GB2312" w:cs="仿宋_GB2312"/>
          <w:b w:val="0"/>
          <w:bCs w:val="0"/>
          <w:i w:val="0"/>
          <w:caps w:val="0"/>
          <w:color w:val="333333"/>
          <w:spacing w:val="0"/>
          <w:sz w:val="32"/>
          <w:szCs w:val="32"/>
          <w:shd w:val="clear" w:color="auto" w:fill="FFFFFF"/>
          <w:lang w:val="en-US" w:eastAsia="zh-CN"/>
        </w:rPr>
        <w:t>15</w:t>
      </w:r>
      <w:r>
        <w:rPr>
          <w:rFonts w:hint="eastAsia" w:ascii="仿宋_GB2312" w:hAnsi="仿宋_GB2312" w:eastAsia="仿宋_GB2312" w:cs="仿宋_GB2312"/>
          <w:b w:val="0"/>
          <w:bCs w:val="0"/>
          <w:i w:val="0"/>
          <w:caps w:val="0"/>
          <w:color w:val="333333"/>
          <w:spacing w:val="0"/>
          <w:sz w:val="32"/>
          <w:szCs w:val="32"/>
          <w:shd w:val="clear" w:color="auto" w:fill="FFFFFF"/>
        </w:rPr>
        <w:t>条</w:t>
      </w:r>
      <w:r>
        <w:rPr>
          <w:rFonts w:hint="eastAsia" w:ascii="仿宋_GB2312" w:hAnsi="仿宋_GB2312" w:eastAsia="仿宋_GB2312" w:cs="仿宋_GB2312"/>
          <w:b w:val="0"/>
          <w:bCs w:val="0"/>
          <w:i w:val="0"/>
          <w:caps w:val="0"/>
          <w:color w:val="333333"/>
          <w:spacing w:val="0"/>
          <w:sz w:val="32"/>
          <w:szCs w:val="32"/>
          <w:shd w:val="clear" w:color="auto" w:fill="FFFFFF"/>
          <w:lang w:eastAsia="zh-CN"/>
        </w:rPr>
        <w:t>、中标公告</w:t>
      </w:r>
      <w:r>
        <w:rPr>
          <w:rFonts w:hint="eastAsia" w:ascii="仿宋_GB2312" w:hAnsi="仿宋_GB2312" w:eastAsia="仿宋_GB2312" w:cs="仿宋_GB2312"/>
          <w:b w:val="0"/>
          <w:bCs w:val="0"/>
          <w:i w:val="0"/>
          <w:caps w:val="0"/>
          <w:color w:val="333333"/>
          <w:spacing w:val="0"/>
          <w:sz w:val="32"/>
          <w:szCs w:val="32"/>
          <w:shd w:val="clear" w:color="auto" w:fill="FFFFFF"/>
          <w:lang w:val="en-US" w:eastAsia="zh-CN"/>
        </w:rPr>
        <w:t>14条，</w:t>
      </w:r>
      <w:r>
        <w:rPr>
          <w:rFonts w:hint="eastAsia" w:ascii="仿宋_GB2312" w:hAnsi="仿宋_GB2312" w:eastAsia="仿宋_GB2312" w:cs="仿宋_GB2312"/>
          <w:b w:val="0"/>
          <w:bCs w:val="0"/>
          <w:i w:val="0"/>
          <w:caps w:val="0"/>
          <w:color w:val="333333"/>
          <w:spacing w:val="0"/>
          <w:sz w:val="32"/>
          <w:szCs w:val="32"/>
          <w:shd w:val="clear" w:color="auto" w:fill="FFFFFF"/>
        </w:rPr>
        <w:t>动态调整政府信息公开指南、组织机构等信息</w:t>
      </w:r>
      <w:r>
        <w:rPr>
          <w:rFonts w:hint="eastAsia" w:ascii="仿宋_GB2312" w:hAnsi="仿宋_GB2312" w:eastAsia="仿宋_GB2312" w:cs="仿宋_GB2312"/>
          <w:b w:val="0"/>
          <w:bCs w:val="0"/>
          <w:i w:val="0"/>
          <w:caps w:val="0"/>
          <w:color w:val="333333"/>
          <w:spacing w:val="0"/>
          <w:sz w:val="32"/>
          <w:szCs w:val="32"/>
          <w:shd w:val="clear" w:color="auto" w:fill="FFFFFF"/>
          <w:lang w:val="en-US" w:eastAsia="zh-CN"/>
        </w:rPr>
        <w:t>。依托“杭州西站管委会”微信公众号发布各类信息271条，通过中央、省、市、区各级媒体共计发布报道235条，其中央媒54条、省媒78条、市媒77条，确保信息畅通。</w:t>
      </w:r>
    </w:p>
    <w:p>
      <w:pPr>
        <w:widowControl/>
        <w:shd w:val="clear" w:color="auto" w:fill="FFFFFF"/>
        <w:ind w:firstLine="48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（二）依申请公开</w:t>
      </w:r>
    </w:p>
    <w:p>
      <w:pPr>
        <w:widowControl/>
        <w:numPr>
          <w:ilvl w:val="0"/>
          <w:numId w:val="0"/>
        </w:numPr>
        <w:shd w:val="clear" w:color="auto" w:fill="FFFFFF"/>
        <w:rPr>
          <w:rFonts w:hint="eastAsia" w:ascii="仿宋_GB2312" w:hAnsi="仿宋_GB2312" w:eastAsia="仿宋_GB2312" w:cs="仿宋_GB2312"/>
          <w:sz w:val="28"/>
          <w:szCs w:val="28"/>
          <w:lang w:val="en-US" w:eastAsia="zh-CN"/>
        </w:rPr>
      </w:pPr>
      <w:r>
        <w:rPr>
          <w:rFonts w:hint="eastAsia" w:ascii="微软雅黑" w:hAnsi="微软雅黑" w:eastAsia="微软雅黑" w:cs="微软雅黑"/>
          <w:i w:val="0"/>
          <w:caps w:val="0"/>
          <w:color w:val="030303"/>
          <w:spacing w:val="0"/>
          <w:sz w:val="21"/>
          <w:szCs w:val="21"/>
          <w:shd w:val="clear" w:color="auto" w:fill="FFFFFF"/>
          <w:lang w:val="en-US" w:eastAsia="zh-CN"/>
        </w:rPr>
        <w:t xml:space="preserve"> </w:t>
      </w:r>
      <w:r>
        <w:rPr>
          <w:rFonts w:hint="eastAsia" w:ascii="仿宋_GB2312" w:hAnsi="仿宋_GB2312" w:eastAsia="仿宋_GB2312" w:cs="仿宋_GB2312"/>
          <w:b w:val="0"/>
          <w:bCs w:val="0"/>
          <w:i w:val="0"/>
          <w:caps w:val="0"/>
          <w:color w:val="333333"/>
          <w:spacing w:val="0"/>
          <w:sz w:val="32"/>
          <w:szCs w:val="32"/>
          <w:shd w:val="clear" w:color="auto" w:fill="FFFFFF"/>
          <w:lang w:val="en-US" w:eastAsia="zh-CN"/>
        </w:rPr>
        <w:t xml:space="preserve">   本年度未收到要求公开政府信息的有效申请件。</w:t>
      </w:r>
    </w:p>
    <w:p>
      <w:pPr>
        <w:widowControl/>
        <w:shd w:val="clear" w:color="auto" w:fill="FFFFFF"/>
        <w:ind w:firstLine="48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（三）政府信息管理</w:t>
      </w:r>
    </w:p>
    <w:p>
      <w:pPr>
        <w:widowControl/>
        <w:numPr>
          <w:ilvl w:val="0"/>
          <w:numId w:val="0"/>
        </w:numPr>
        <w:shd w:val="clear" w:color="auto" w:fill="FFFFFF"/>
        <w:rPr>
          <w:rFonts w:hint="eastAsia" w:ascii="仿宋_GB2312" w:hAnsi="仿宋_GB2312" w:eastAsia="仿宋_GB2312" w:cs="仿宋_GB2312"/>
          <w:b w:val="0"/>
          <w:bCs w:val="0"/>
          <w:i w:val="0"/>
          <w:caps w:val="0"/>
          <w:color w:val="333333"/>
          <w:spacing w:val="0"/>
          <w:sz w:val="32"/>
          <w:szCs w:val="32"/>
          <w:shd w:val="clear" w:color="auto" w:fill="FFFFFF"/>
          <w:lang w:val="en-US" w:eastAsia="zh-CN"/>
        </w:rPr>
      </w:pPr>
      <w:r>
        <w:rPr>
          <w:rFonts w:hint="eastAsia" w:ascii="仿宋_GB2312" w:hAnsi="仿宋_GB2312" w:eastAsia="仿宋_GB2312" w:cs="仿宋_GB2312"/>
          <w:b w:val="0"/>
          <w:bCs w:val="0"/>
          <w:i w:val="0"/>
          <w:caps w:val="0"/>
          <w:color w:val="333333"/>
          <w:spacing w:val="0"/>
          <w:sz w:val="32"/>
          <w:szCs w:val="32"/>
          <w:shd w:val="clear" w:color="auto" w:fill="FFFFFF"/>
          <w:lang w:val="en-US" w:eastAsia="zh-CN"/>
        </w:rPr>
        <w:t xml:space="preserve">     高度重视保密审查，严格落实“三审三校”制度，根据“先审查、后发布，谁公开、谁负责”、“一事一审”的原则，加大对拟公开信息的保密审查力度，确保做到公开不涉密、涉密不公开，公开的信息无错别字、错链，无敏感信息，安全可靠。</w:t>
      </w:r>
    </w:p>
    <w:p>
      <w:pPr>
        <w:widowControl/>
        <w:shd w:val="clear" w:color="auto" w:fill="FFFFFF"/>
        <w:ind w:firstLine="48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（四）政府信息公开平台建设</w:t>
      </w:r>
    </w:p>
    <w:p>
      <w:pPr>
        <w:widowControl/>
        <w:numPr>
          <w:ilvl w:val="0"/>
          <w:numId w:val="0"/>
        </w:numPr>
        <w:shd w:val="clear" w:color="auto" w:fill="FFFFFF"/>
        <w:rPr>
          <w:rFonts w:hint="eastAsia" w:ascii="仿宋_GB2312" w:hAnsi="仿宋_GB2312" w:eastAsia="仿宋_GB2312" w:cs="仿宋_GB2312"/>
          <w:b w:val="0"/>
          <w:bCs w:val="0"/>
          <w:i w:val="0"/>
          <w:caps w:val="0"/>
          <w:color w:val="333333"/>
          <w:spacing w:val="0"/>
          <w:sz w:val="32"/>
          <w:szCs w:val="32"/>
          <w:shd w:val="clear" w:color="auto" w:fill="FFFFFF"/>
          <w:lang w:val="en-US" w:eastAsia="zh-CN"/>
        </w:rPr>
      </w:pPr>
      <w:r>
        <w:rPr>
          <w:rFonts w:hint="eastAsia" w:ascii="仿宋_GB2312" w:hAnsi="仿宋_GB2312" w:eastAsia="仿宋_GB2312" w:cs="仿宋_GB2312"/>
          <w:b w:val="0"/>
          <w:bCs w:val="0"/>
          <w:i w:val="0"/>
          <w:caps w:val="0"/>
          <w:color w:val="333333"/>
          <w:spacing w:val="0"/>
          <w:sz w:val="32"/>
          <w:szCs w:val="32"/>
          <w:shd w:val="clear" w:color="auto" w:fill="FFFFFF"/>
          <w:lang w:val="en-US" w:eastAsia="zh-CN"/>
        </w:rPr>
        <w:t xml:space="preserve">    严格按照政府信息公开相关要求，落实专人负责余杭区政府门户网站西站枢纽管理委员会专栏建设管理和更新维护工作，及时有效发布主动公开信息。同时，推进“杭州西站管委会”微信公众号、微博协同联动发展，围绕管委会各项中心工作开展政府信息公开。</w:t>
      </w:r>
    </w:p>
    <w:p>
      <w:pPr>
        <w:widowControl/>
        <w:shd w:val="clear" w:color="auto" w:fill="FFFFFF"/>
        <w:ind w:firstLine="48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（五）监督保障</w:t>
      </w:r>
    </w:p>
    <w:p>
      <w:pPr>
        <w:widowControl/>
        <w:numPr>
          <w:ilvl w:val="0"/>
          <w:numId w:val="0"/>
        </w:numPr>
        <w:shd w:val="clear" w:color="auto" w:fill="FFFFFF"/>
        <w:rPr>
          <w:rFonts w:hint="eastAsia" w:ascii="仿宋_GB2312" w:hAnsi="仿宋_GB2312" w:eastAsia="仿宋_GB2312" w:cs="仿宋_GB2312"/>
          <w:b w:val="0"/>
          <w:bCs w:val="0"/>
          <w:i w:val="0"/>
          <w:caps w:val="0"/>
          <w:color w:val="333333"/>
          <w:spacing w:val="0"/>
          <w:sz w:val="32"/>
          <w:szCs w:val="32"/>
          <w:shd w:val="clear" w:color="auto" w:fill="FFFFFF"/>
          <w:lang w:val="en-US" w:eastAsia="zh-CN"/>
        </w:rPr>
      </w:pPr>
      <w:r>
        <w:rPr>
          <w:rFonts w:hint="eastAsia" w:ascii="仿宋_GB2312" w:hAnsi="仿宋_GB2312" w:eastAsia="仿宋_GB2312" w:cs="仿宋_GB2312"/>
          <w:b w:val="0"/>
          <w:bCs w:val="0"/>
          <w:i w:val="0"/>
          <w:caps w:val="0"/>
          <w:color w:val="333333"/>
          <w:spacing w:val="0"/>
          <w:sz w:val="32"/>
          <w:szCs w:val="32"/>
          <w:shd w:val="clear" w:color="auto" w:fill="FFFFFF"/>
          <w:lang w:val="en-US" w:eastAsia="zh-CN"/>
        </w:rPr>
        <w:t xml:space="preserve">    高度重视政府信息公开工作，建立工作领导小组，形成由主要领导总负责，分管负责人直接负责，两名同志兼职信息公开管理工作的工作体系。严格落实信息公开制度，加强日常监督检查，切实保证政府信息公开工作顺利开展。同时，积极落实社会评议制度，广泛听取群众意见。2023年管委会未出现因信息公开不到位需要进行责任追究的情况。</w:t>
      </w:r>
    </w:p>
    <w:p>
      <w:pPr>
        <w:widowControl/>
        <w:numPr>
          <w:ilvl w:val="0"/>
          <w:numId w:val="1"/>
        </w:numPr>
        <w:shd w:val="clear" w:color="auto" w:fill="FFFFFF"/>
        <w:ind w:firstLine="480"/>
        <w:rPr>
          <w:rFonts w:hint="eastAsia" w:ascii="黑体" w:hAnsi="黑体" w:eastAsia="黑体" w:cs="黑体"/>
          <w:b w:val="0"/>
          <w:bCs w:val="0"/>
          <w:color w:val="333333"/>
          <w:kern w:val="0"/>
          <w:sz w:val="32"/>
          <w:szCs w:val="32"/>
        </w:rPr>
      </w:pPr>
      <w:r>
        <w:rPr>
          <w:rFonts w:hint="eastAsia" w:ascii="黑体" w:hAnsi="黑体" w:eastAsia="黑体" w:cs="黑体"/>
          <w:b w:val="0"/>
          <w:bCs w:val="0"/>
          <w:color w:val="333333"/>
          <w:kern w:val="0"/>
          <w:sz w:val="32"/>
          <w:szCs w:val="32"/>
        </w:rPr>
        <w:t>主动公开政府信息情况</w:t>
      </w:r>
    </w:p>
    <w:tbl>
      <w:tblPr>
        <w:tblStyle w:val="7"/>
        <w:tblW w:w="97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435"/>
        <w:gridCol w:w="2435"/>
        <w:gridCol w:w="2435"/>
        <w:gridCol w:w="24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信息内容</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本年</w:t>
            </w:r>
            <w:r>
              <w:rPr>
                <w:rFonts w:hint="eastAsia" w:ascii="仿宋_GB2312" w:hAnsi="仿宋_GB2312" w:eastAsia="仿宋_GB2312" w:cs="仿宋_GB2312"/>
                <w:kern w:val="0"/>
                <w:sz w:val="20"/>
                <w:szCs w:val="20"/>
              </w:rPr>
              <w:t>制发件数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本年废止件数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现行有效件</w:t>
            </w:r>
            <w:r>
              <w:rPr>
                <w:rFonts w:hint="eastAsia" w:ascii="仿宋_GB2312" w:hAnsi="仿宋_GB2312" w:eastAsia="仿宋_GB2312" w:cs="仿宋_GB2312"/>
                <w:kern w:val="0"/>
                <w:sz w:val="20"/>
                <w:szCs w:val="20"/>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规章</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行政规范性文件</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信息内容</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行政许可</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信息内容</w:t>
            </w:r>
          </w:p>
        </w:tc>
        <w:tc>
          <w:tcPr>
            <w:tcW w:w="7305"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行政处罚</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行政强制</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信息内容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行政事业性收费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0</w:t>
            </w:r>
          </w:p>
        </w:tc>
      </w:tr>
    </w:tbl>
    <w:p>
      <w:pPr>
        <w:widowControl/>
        <w:numPr>
          <w:ilvl w:val="0"/>
          <w:numId w:val="1"/>
        </w:numPr>
        <w:shd w:val="clear" w:color="auto" w:fill="FFFFFF"/>
        <w:ind w:firstLine="480"/>
        <w:rPr>
          <w:rFonts w:hint="eastAsia" w:ascii="黑体" w:hAnsi="黑体" w:eastAsia="黑体" w:cs="黑体"/>
          <w:b w:val="0"/>
          <w:bCs w:val="0"/>
          <w:color w:val="333333"/>
          <w:kern w:val="0"/>
          <w:sz w:val="32"/>
          <w:szCs w:val="32"/>
        </w:rPr>
      </w:pPr>
      <w:r>
        <w:rPr>
          <w:rFonts w:hint="eastAsia" w:ascii="黑体" w:hAnsi="黑体" w:eastAsia="黑体" w:cs="黑体"/>
          <w:b w:val="0"/>
          <w:bCs w:val="0"/>
          <w:color w:val="333333"/>
          <w:kern w:val="0"/>
          <w:sz w:val="32"/>
          <w:szCs w:val="32"/>
        </w:rPr>
        <w:t>收到和处理政府信息公开申请情况</w:t>
      </w:r>
    </w:p>
    <w:tbl>
      <w:tblPr>
        <w:tblStyle w:val="7"/>
        <w:tblW w:w="974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inset" w:color="auto" w:sz="8" w:space="0"/>
              <w:right w:val="single" w:color="auto" w:sz="8" w:space="0"/>
            </w:tcBorders>
            <w:tcMar>
              <w:top w:w="0" w:type="dxa"/>
              <w:left w:w="108" w:type="dxa"/>
              <w:bottom w:w="0" w:type="dxa"/>
              <w:right w:w="108"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688" w:type="dxa"/>
            <w:vMerge w:val="restart"/>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自然人</w:t>
            </w:r>
          </w:p>
        </w:tc>
        <w:tc>
          <w:tcPr>
            <w:tcW w:w="3440" w:type="dxa"/>
            <w:gridSpan w:val="5"/>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法人或其他组织</w:t>
            </w:r>
          </w:p>
        </w:tc>
        <w:tc>
          <w:tcPr>
            <w:tcW w:w="689" w:type="dxa"/>
            <w:vMerge w:val="restart"/>
            <w:tcBorders>
              <w:top w:val="single"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688" w:type="dxa"/>
            <w:vMerge w:val="continue"/>
            <w:tcBorders>
              <w:top w:val="nil"/>
              <w:left w:val="nil"/>
              <w:bottom w:val="single"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商业</w:t>
            </w:r>
          </w:p>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企业</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科研</w:t>
            </w:r>
          </w:p>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机构</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社会公益组织</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法律服务机构</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其他</w:t>
            </w:r>
          </w:p>
        </w:tc>
        <w:tc>
          <w:tcPr>
            <w:tcW w:w="689" w:type="dxa"/>
            <w:vMerge w:val="continue"/>
            <w:tcBorders>
              <w:top w:val="single" w:color="auto" w:sz="8" w:space="0"/>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一、本年新收政府信息公开申请数量</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二、上年结转政府信息公开申请数量</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restart"/>
            <w:tcBorders>
              <w:top w:val="nil"/>
              <w:left w:val="single" w:color="auto" w:sz="8" w:space="0"/>
              <w:bottom w:val="inset"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三、本年度办理结果</w:t>
            </w:r>
          </w:p>
        </w:tc>
        <w:tc>
          <w:tcPr>
            <w:tcW w:w="416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（一）予以公开</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single" w:color="auto" w:sz="8" w:space="0"/>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416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（二）部分公开（区分处理的，只计这一情形，不计其他情形）</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（三）不予公开</w:t>
            </w: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1.属于国家秘密</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single" w:color="auto" w:sz="8" w:space="0"/>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2.其他法律行政法规禁止公开</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3.危及“三安全一稳定”</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4.保护第三方合法权益</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5.属于三类内部事务信息</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6.属于四类过程性信息</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7.属于行政执法案卷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8.属于行政查询事项</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（四）无法提供</w:t>
            </w: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1.本机关不掌握相关政府信息</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2.没有现成信息需要另行制作</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3.补正后申请内容仍不明确</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（五）不予处理</w:t>
            </w: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1.信访举报投诉类申请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2.重复申请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3.要求提供公开出版物</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4.无正当理由大量反复申请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79" w:hRule="atLeast"/>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5.要求行政机关确认或重新出具已获取信息</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inset"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restart"/>
            <w:tcBorders>
              <w:top w:val="inset"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（六）其他处理</w:t>
            </w: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1.申请人无正当理由逾期不补正、行政机关不再处理其政府信息公开申请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0"/>
                <w:szCs w:val="20"/>
                <w:lang w:val="en-US" w:eastAsia="zh-CN"/>
              </w:rPr>
            </w:pPr>
          </w:p>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inset" w:color="auto" w:sz="8" w:space="0"/>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0"/>
                <w:szCs w:val="20"/>
                <w:lang w:val="en-US" w:eastAsia="zh-CN"/>
              </w:rPr>
            </w:pPr>
          </w:p>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inset" w:color="auto" w:sz="8" w:space="0"/>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3.其他</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416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（七）总计</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四、结转下年度继续办理</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 xml:space="preserve">  0</w:t>
            </w:r>
            <w:r>
              <w:rPr>
                <w:rFonts w:hint="eastAsia" w:ascii="仿宋_GB2312" w:hAnsi="仿宋_GB2312" w:eastAsia="仿宋_GB2312" w:cs="仿宋_GB2312"/>
                <w:kern w:val="0"/>
                <w:sz w:val="20"/>
                <w:szCs w:val="20"/>
              </w:rPr>
              <w:t> </w:t>
            </w:r>
          </w:p>
        </w:tc>
      </w:tr>
    </w:tbl>
    <w:p>
      <w:pPr>
        <w:widowControl/>
        <w:numPr>
          <w:ilvl w:val="0"/>
          <w:numId w:val="1"/>
        </w:numPr>
        <w:shd w:val="clear" w:color="auto" w:fill="FFFFFF"/>
        <w:ind w:firstLine="480"/>
        <w:rPr>
          <w:rFonts w:hint="eastAsia" w:ascii="黑体" w:hAnsi="黑体" w:eastAsia="黑体" w:cs="黑体"/>
          <w:b w:val="0"/>
          <w:bCs w:val="0"/>
          <w:color w:val="333333"/>
          <w:kern w:val="0"/>
          <w:sz w:val="32"/>
          <w:szCs w:val="32"/>
        </w:rPr>
      </w:pPr>
      <w:r>
        <w:rPr>
          <w:rFonts w:hint="eastAsia" w:ascii="黑体" w:hAnsi="黑体" w:eastAsia="黑体" w:cs="黑体"/>
          <w:b w:val="0"/>
          <w:bCs w:val="0"/>
          <w:color w:val="333333"/>
          <w:kern w:val="0"/>
          <w:sz w:val="32"/>
          <w:szCs w:val="32"/>
        </w:rPr>
        <w:t>政府信息公开行政复议、行政诉讼情况</w:t>
      </w:r>
    </w:p>
    <w:tbl>
      <w:tblPr>
        <w:tblStyle w:val="7"/>
        <w:tblW w:w="974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行政复议</w:t>
            </w:r>
          </w:p>
        </w:tc>
        <w:tc>
          <w:tcPr>
            <w:tcW w:w="6503" w:type="dxa"/>
            <w:gridSpan w:val="10"/>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结果维持</w:t>
            </w:r>
          </w:p>
        </w:tc>
        <w:tc>
          <w:tcPr>
            <w:tcW w:w="649"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结果</w:t>
            </w:r>
            <w:r>
              <w:rPr>
                <w:rFonts w:hint="eastAsia" w:ascii="仿宋_GB2312" w:hAnsi="仿宋_GB2312" w:eastAsia="仿宋_GB2312" w:cs="仿宋_GB2312"/>
                <w:kern w:val="0"/>
                <w:sz w:val="20"/>
                <w:szCs w:val="20"/>
              </w:rPr>
              <w:br w:type="textWrapping"/>
            </w:r>
            <w:r>
              <w:rPr>
                <w:rFonts w:hint="eastAsia" w:ascii="仿宋_GB2312" w:hAnsi="仿宋_GB2312" w:eastAsia="仿宋_GB2312" w:cs="仿宋_GB2312"/>
                <w:kern w:val="0"/>
                <w:sz w:val="20"/>
                <w:szCs w:val="20"/>
              </w:rPr>
              <w:t>纠正</w:t>
            </w:r>
          </w:p>
        </w:tc>
        <w:tc>
          <w:tcPr>
            <w:tcW w:w="649"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其他</w:t>
            </w:r>
            <w:r>
              <w:rPr>
                <w:rFonts w:hint="eastAsia" w:ascii="仿宋_GB2312" w:hAnsi="仿宋_GB2312" w:eastAsia="仿宋_GB2312" w:cs="仿宋_GB2312"/>
                <w:kern w:val="0"/>
                <w:sz w:val="20"/>
                <w:szCs w:val="20"/>
              </w:rPr>
              <w:br w:type="textWrapping"/>
            </w:r>
            <w:r>
              <w:rPr>
                <w:rFonts w:hint="eastAsia" w:ascii="仿宋_GB2312" w:hAnsi="仿宋_GB2312" w:eastAsia="仿宋_GB2312" w:cs="仿宋_GB2312"/>
                <w:kern w:val="0"/>
                <w:sz w:val="20"/>
                <w:szCs w:val="20"/>
              </w:rPr>
              <w:t>结果</w:t>
            </w:r>
          </w:p>
        </w:tc>
        <w:tc>
          <w:tcPr>
            <w:tcW w:w="649"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尚未</w:t>
            </w:r>
            <w:r>
              <w:rPr>
                <w:rFonts w:hint="eastAsia" w:ascii="仿宋_GB2312" w:hAnsi="仿宋_GB2312" w:eastAsia="仿宋_GB2312" w:cs="仿宋_GB2312"/>
                <w:kern w:val="0"/>
                <w:sz w:val="20"/>
                <w:szCs w:val="20"/>
              </w:rPr>
              <w:br w:type="textWrapping"/>
            </w:r>
            <w:r>
              <w:rPr>
                <w:rFonts w:hint="eastAsia" w:ascii="仿宋_GB2312" w:hAnsi="仿宋_GB2312" w:eastAsia="仿宋_GB2312" w:cs="仿宋_GB2312"/>
                <w:kern w:val="0"/>
                <w:sz w:val="20"/>
                <w:szCs w:val="20"/>
              </w:rPr>
              <w:t>审结</w:t>
            </w:r>
          </w:p>
        </w:tc>
        <w:tc>
          <w:tcPr>
            <w:tcW w:w="649"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总计</w:t>
            </w:r>
          </w:p>
        </w:tc>
        <w:tc>
          <w:tcPr>
            <w:tcW w:w="3248"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649" w:type="dxa"/>
            <w:vMerge w:val="continue"/>
            <w:tcBorders>
              <w:top w:val="nil"/>
              <w:left w:val="single" w:color="auto" w:sz="8" w:space="0"/>
              <w:bottom w:val="single"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结果</w:t>
            </w:r>
            <w:r>
              <w:rPr>
                <w:rFonts w:hint="eastAsia" w:ascii="仿宋_GB2312" w:hAnsi="仿宋_GB2312" w:eastAsia="仿宋_GB2312" w:cs="仿宋_GB2312"/>
                <w:kern w:val="0"/>
                <w:sz w:val="20"/>
                <w:szCs w:val="20"/>
              </w:rPr>
              <w:br w:type="textWrapping"/>
            </w:r>
            <w:r>
              <w:rPr>
                <w:rFonts w:hint="eastAsia" w:ascii="仿宋_GB2312" w:hAnsi="仿宋_GB2312" w:eastAsia="仿宋_GB2312" w:cs="仿宋_GB2312"/>
                <w:kern w:val="0"/>
                <w:sz w:val="20"/>
                <w:szCs w:val="20"/>
              </w:rPr>
              <w:t>维持</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结果</w:t>
            </w:r>
            <w:r>
              <w:rPr>
                <w:rFonts w:hint="eastAsia" w:ascii="仿宋_GB2312" w:hAnsi="仿宋_GB2312" w:eastAsia="仿宋_GB2312" w:cs="仿宋_GB2312"/>
                <w:kern w:val="0"/>
                <w:sz w:val="20"/>
                <w:szCs w:val="20"/>
              </w:rPr>
              <w:br w:type="textWrapping"/>
            </w:r>
            <w:r>
              <w:rPr>
                <w:rFonts w:hint="eastAsia" w:ascii="仿宋_GB2312" w:hAnsi="仿宋_GB2312" w:eastAsia="仿宋_GB2312" w:cs="仿宋_GB2312"/>
                <w:kern w:val="0"/>
                <w:sz w:val="20"/>
                <w:szCs w:val="20"/>
              </w:rPr>
              <w:t>纠正</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其他</w:t>
            </w:r>
            <w:r>
              <w:rPr>
                <w:rFonts w:hint="eastAsia" w:ascii="仿宋_GB2312" w:hAnsi="仿宋_GB2312" w:eastAsia="仿宋_GB2312" w:cs="仿宋_GB2312"/>
                <w:kern w:val="0"/>
                <w:sz w:val="20"/>
                <w:szCs w:val="20"/>
              </w:rPr>
              <w:br w:type="textWrapping"/>
            </w:r>
            <w:r>
              <w:rPr>
                <w:rFonts w:hint="eastAsia" w:ascii="仿宋_GB2312" w:hAnsi="仿宋_GB2312" w:eastAsia="仿宋_GB2312" w:cs="仿宋_GB2312"/>
                <w:kern w:val="0"/>
                <w:sz w:val="20"/>
                <w:szCs w:val="20"/>
              </w:rPr>
              <w:t>结果</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尚未</w:t>
            </w:r>
            <w:r>
              <w:rPr>
                <w:rFonts w:hint="eastAsia" w:ascii="仿宋_GB2312" w:hAnsi="仿宋_GB2312" w:eastAsia="仿宋_GB2312" w:cs="仿宋_GB2312"/>
                <w:kern w:val="0"/>
                <w:sz w:val="20"/>
                <w:szCs w:val="20"/>
              </w:rPr>
              <w:br w:type="textWrapping"/>
            </w:r>
            <w:r>
              <w:rPr>
                <w:rFonts w:hint="eastAsia" w:ascii="仿宋_GB2312" w:hAnsi="仿宋_GB2312" w:eastAsia="仿宋_GB2312" w:cs="仿宋_GB2312"/>
                <w:kern w:val="0"/>
                <w:sz w:val="20"/>
                <w:szCs w:val="20"/>
              </w:rPr>
              <w:t>审结</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总计</w:t>
            </w:r>
          </w:p>
        </w:tc>
        <w:tc>
          <w:tcPr>
            <w:tcW w:w="6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结果</w:t>
            </w:r>
            <w:r>
              <w:rPr>
                <w:rFonts w:hint="eastAsia" w:ascii="仿宋_GB2312" w:hAnsi="仿宋_GB2312" w:eastAsia="仿宋_GB2312" w:cs="仿宋_GB2312"/>
                <w:kern w:val="0"/>
                <w:sz w:val="20"/>
                <w:szCs w:val="20"/>
              </w:rPr>
              <w:br w:type="textWrapping"/>
            </w:r>
            <w:r>
              <w:rPr>
                <w:rFonts w:hint="eastAsia" w:ascii="仿宋_GB2312" w:hAnsi="仿宋_GB2312" w:eastAsia="仿宋_GB2312" w:cs="仿宋_GB2312"/>
                <w:kern w:val="0"/>
                <w:sz w:val="20"/>
                <w:szCs w:val="20"/>
              </w:rPr>
              <w:t>维持</w:t>
            </w:r>
          </w:p>
        </w:tc>
        <w:tc>
          <w:tcPr>
            <w:tcW w:w="6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结果</w:t>
            </w:r>
            <w:r>
              <w:rPr>
                <w:rFonts w:hint="eastAsia" w:ascii="仿宋_GB2312" w:hAnsi="仿宋_GB2312" w:eastAsia="仿宋_GB2312" w:cs="仿宋_GB2312"/>
                <w:kern w:val="0"/>
                <w:sz w:val="20"/>
                <w:szCs w:val="20"/>
              </w:rPr>
              <w:br w:type="textWrapping"/>
            </w:r>
            <w:r>
              <w:rPr>
                <w:rFonts w:hint="eastAsia" w:ascii="仿宋_GB2312" w:hAnsi="仿宋_GB2312" w:eastAsia="仿宋_GB2312" w:cs="仿宋_GB2312"/>
                <w:kern w:val="0"/>
                <w:sz w:val="20"/>
                <w:szCs w:val="20"/>
              </w:rPr>
              <w:t>纠正</w:t>
            </w:r>
          </w:p>
        </w:tc>
        <w:tc>
          <w:tcPr>
            <w:tcW w:w="6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其他</w:t>
            </w:r>
            <w:r>
              <w:rPr>
                <w:rFonts w:hint="eastAsia" w:ascii="仿宋_GB2312" w:hAnsi="仿宋_GB2312" w:eastAsia="仿宋_GB2312" w:cs="仿宋_GB2312"/>
                <w:color w:val="000000"/>
                <w:kern w:val="0"/>
                <w:sz w:val="20"/>
                <w:szCs w:val="20"/>
              </w:rPr>
              <w:br w:type="textWrapping"/>
            </w:r>
            <w:r>
              <w:rPr>
                <w:rFonts w:hint="eastAsia" w:ascii="仿宋_GB2312" w:hAnsi="仿宋_GB2312" w:eastAsia="仿宋_GB2312" w:cs="仿宋_GB2312"/>
                <w:color w:val="000000"/>
                <w:kern w:val="0"/>
                <w:sz w:val="20"/>
                <w:szCs w:val="20"/>
              </w:rPr>
              <w:t>结果</w:t>
            </w:r>
          </w:p>
        </w:tc>
        <w:tc>
          <w:tcPr>
            <w:tcW w:w="6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尚未</w:t>
            </w:r>
            <w:r>
              <w:rPr>
                <w:rFonts w:hint="eastAsia" w:ascii="仿宋_GB2312" w:hAnsi="仿宋_GB2312" w:eastAsia="仿宋_GB2312" w:cs="仿宋_GB2312"/>
                <w:kern w:val="0"/>
                <w:sz w:val="20"/>
                <w:szCs w:val="20"/>
              </w:rPr>
              <w:br w:type="textWrapping"/>
            </w:r>
            <w:r>
              <w:rPr>
                <w:rFonts w:hint="eastAsia" w:ascii="仿宋_GB2312" w:hAnsi="仿宋_GB2312" w:eastAsia="仿宋_GB2312" w:cs="仿宋_GB2312"/>
                <w:kern w:val="0"/>
                <w:sz w:val="20"/>
                <w:szCs w:val="20"/>
              </w:rPr>
              <w:t>审结</w:t>
            </w:r>
          </w:p>
        </w:tc>
        <w:tc>
          <w:tcPr>
            <w:tcW w:w="6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5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5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5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5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5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 xml:space="preserve"> 0</w:t>
            </w:r>
          </w:p>
        </w:tc>
      </w:tr>
    </w:tbl>
    <w:p>
      <w:pPr>
        <w:widowControl/>
        <w:numPr>
          <w:ilvl w:val="0"/>
          <w:numId w:val="1"/>
        </w:numPr>
        <w:shd w:val="clear" w:color="auto" w:fill="FFFFFF"/>
        <w:ind w:firstLine="480"/>
        <w:rPr>
          <w:rFonts w:hint="eastAsia" w:ascii="黑体" w:hAnsi="黑体" w:eastAsia="黑体" w:cs="黑体"/>
          <w:b w:val="0"/>
          <w:bCs w:val="0"/>
          <w:color w:val="333333"/>
          <w:kern w:val="0"/>
          <w:sz w:val="32"/>
          <w:szCs w:val="32"/>
        </w:rPr>
      </w:pPr>
      <w:r>
        <w:rPr>
          <w:rFonts w:hint="eastAsia" w:ascii="黑体" w:hAnsi="黑体" w:eastAsia="黑体" w:cs="黑体"/>
          <w:b w:val="0"/>
          <w:bCs w:val="0"/>
          <w:color w:val="333333"/>
          <w:kern w:val="0"/>
          <w:sz w:val="32"/>
          <w:szCs w:val="32"/>
        </w:rPr>
        <w:t>存在的主要问题及改进情况</w:t>
      </w:r>
    </w:p>
    <w:p>
      <w:pPr>
        <w:widowControl/>
        <w:numPr>
          <w:ilvl w:val="0"/>
          <w:numId w:val="0"/>
        </w:numPr>
        <w:shd w:val="clear" w:color="auto" w:fill="FFFFFF"/>
        <w:rPr>
          <w:rFonts w:hint="eastAsia" w:ascii="仿宋_GB2312" w:hAnsi="仿宋_GB2312" w:eastAsia="仿宋_GB2312" w:cs="仿宋_GB2312"/>
          <w:b w:val="0"/>
          <w:bCs w:val="0"/>
          <w:i w:val="0"/>
          <w:caps w:val="0"/>
          <w:color w:val="333333"/>
          <w:spacing w:val="0"/>
          <w:sz w:val="32"/>
          <w:szCs w:val="32"/>
          <w:shd w:val="clear" w:color="auto" w:fill="FFFFFF"/>
          <w:lang w:val="en-US" w:eastAsia="zh-CN"/>
        </w:rPr>
      </w:pPr>
      <w:r>
        <w:rPr>
          <w:rFonts w:hint="eastAsia" w:ascii="仿宋_GB2312" w:hAnsi="仿宋_GB2312" w:eastAsia="仿宋_GB2312" w:cs="仿宋_GB2312"/>
          <w:b w:val="0"/>
          <w:bCs w:val="0"/>
          <w:i w:val="0"/>
          <w:caps w:val="0"/>
          <w:color w:val="333333"/>
          <w:spacing w:val="0"/>
          <w:sz w:val="32"/>
          <w:szCs w:val="32"/>
          <w:shd w:val="clear" w:color="auto" w:fill="FFFFFF"/>
          <w:lang w:val="en-US" w:eastAsia="zh-CN"/>
        </w:rPr>
        <w:t xml:space="preserve">    2023年西站枢纽管委会政务公开工作取得一定成绩，但同时也存在一些不足。例如，信息公开内容不够丰富全面，信息公开广度、深度、力度和频率还要进一步提高；日常监督不够细致，部分主动公开信息中出现隐藏信息等。</w:t>
      </w:r>
    </w:p>
    <w:p>
      <w:pPr>
        <w:widowControl/>
        <w:numPr>
          <w:ilvl w:val="0"/>
          <w:numId w:val="0"/>
        </w:numPr>
        <w:shd w:val="clear" w:color="auto" w:fill="FFFFFF"/>
        <w:ind w:firstLine="640" w:firstLineChars="200"/>
        <w:rPr>
          <w:rFonts w:hint="eastAsia" w:ascii="仿宋_GB2312" w:hAnsi="仿宋_GB2312" w:eastAsia="仿宋_GB2312" w:cs="仿宋_GB2312"/>
          <w:b w:val="0"/>
          <w:bCs w:val="0"/>
          <w:i w:val="0"/>
          <w:caps w:val="0"/>
          <w:color w:val="333333"/>
          <w:spacing w:val="0"/>
          <w:sz w:val="32"/>
          <w:szCs w:val="32"/>
          <w:shd w:val="clear" w:color="auto" w:fill="FFFFFF"/>
          <w:lang w:val="en-US" w:eastAsia="zh-CN"/>
        </w:rPr>
      </w:pPr>
      <w:r>
        <w:rPr>
          <w:rFonts w:hint="eastAsia" w:ascii="仿宋_GB2312" w:hAnsi="仿宋_GB2312" w:eastAsia="仿宋_GB2312" w:cs="仿宋_GB2312"/>
          <w:b w:val="0"/>
          <w:bCs w:val="0"/>
          <w:i w:val="0"/>
          <w:caps w:val="0"/>
          <w:color w:val="333333"/>
          <w:spacing w:val="0"/>
          <w:sz w:val="32"/>
          <w:szCs w:val="32"/>
          <w:shd w:val="clear" w:color="auto" w:fill="FFFFFF"/>
          <w:lang w:val="en-US" w:eastAsia="zh-CN"/>
        </w:rPr>
        <w:t>下一步，主要从三方面着手加以改进：一是进一步加强对信息发布内容的审核力度，严格落实信息发布三审三校制度；二是加强对工作人员培养，更熟练掌握网站信息发布流程，完善信息发布工作，进一步提高工作人员发布信息、政策解读、回应关切的能力；三是拓宽公开渠道，丰富宣传形式，进一步拓展政务新媒体对优质内容的深度挖掘。</w:t>
      </w:r>
    </w:p>
    <w:p>
      <w:pPr>
        <w:widowControl/>
        <w:numPr>
          <w:ilvl w:val="0"/>
          <w:numId w:val="1"/>
        </w:numPr>
        <w:shd w:val="clear" w:color="auto" w:fill="FFFFFF"/>
        <w:ind w:firstLine="480"/>
        <w:rPr>
          <w:rFonts w:hint="eastAsia" w:ascii="黑体" w:hAnsi="黑体" w:eastAsia="黑体" w:cs="黑体"/>
          <w:b w:val="0"/>
          <w:bCs w:val="0"/>
          <w:color w:val="333333"/>
          <w:kern w:val="0"/>
          <w:sz w:val="32"/>
          <w:szCs w:val="32"/>
        </w:rPr>
      </w:pPr>
      <w:r>
        <w:rPr>
          <w:rFonts w:hint="eastAsia" w:ascii="黑体" w:hAnsi="黑体" w:eastAsia="黑体" w:cs="黑体"/>
          <w:b w:val="0"/>
          <w:bCs w:val="0"/>
          <w:color w:val="333333"/>
          <w:kern w:val="0"/>
          <w:sz w:val="32"/>
          <w:szCs w:val="32"/>
        </w:rPr>
        <w:t>其他需要报告的事项</w:t>
      </w:r>
    </w:p>
    <w:p>
      <w:pPr>
        <w:widowControl w:val="0"/>
        <w:wordWrap/>
        <w:adjustRightInd/>
        <w:snapToGrid/>
        <w:spacing w:line="570" w:lineRule="exact"/>
        <w:jc w:val="left"/>
        <w:textAlignment w:val="auto"/>
        <w:rPr>
          <w:rFonts w:hint="eastAsia" w:ascii="方正小标宋_GBK" w:hAnsi="方正小标宋_GBK" w:eastAsia="方正小标宋_GBK" w:cs="方正小标宋_GBK"/>
          <w:sz w:val="44"/>
          <w:szCs w:val="44"/>
          <w:lang w:val="en-US" w:eastAsia="zh-CN"/>
        </w:rPr>
      </w:pPr>
      <w:r>
        <w:rPr>
          <w:rFonts w:hint="eastAsia" w:ascii="微软雅黑" w:hAnsi="微软雅黑" w:eastAsia="微软雅黑" w:cs="微软雅黑"/>
          <w:i w:val="0"/>
          <w:caps w:val="0"/>
          <w:color w:val="030303"/>
          <w:spacing w:val="0"/>
          <w:sz w:val="21"/>
          <w:szCs w:val="21"/>
          <w:shd w:val="clear" w:color="auto" w:fill="FFFFFF"/>
          <w:lang w:val="en-US" w:eastAsia="zh-CN"/>
        </w:rPr>
        <w:t xml:space="preserve">    </w:t>
      </w:r>
      <w:r>
        <w:rPr>
          <w:rFonts w:hint="eastAsia" w:ascii="仿宋_GB2312" w:hAnsi="仿宋_GB2312" w:eastAsia="仿宋_GB2312" w:cs="仿宋_GB2312"/>
          <w:b w:val="0"/>
          <w:bCs w:val="0"/>
          <w:i w:val="0"/>
          <w:caps w:val="0"/>
          <w:color w:val="333333"/>
          <w:spacing w:val="0"/>
          <w:sz w:val="32"/>
          <w:szCs w:val="32"/>
          <w:shd w:val="clear" w:color="auto" w:fill="FFFFFF"/>
          <w:lang w:val="en-US" w:eastAsia="zh-CN"/>
        </w:rPr>
        <w:t>本单位2023年未收取信息处理费。</w:t>
      </w:r>
    </w:p>
    <w:p>
      <w:pPr>
        <w:widowControl w:val="0"/>
        <w:wordWrap/>
        <w:adjustRightInd/>
        <w:snapToGrid/>
        <w:spacing w:line="570" w:lineRule="exact"/>
        <w:jc w:val="center"/>
        <w:textAlignment w:val="auto"/>
        <w:rPr>
          <w:rFonts w:hint="eastAsia" w:ascii="方正小标宋_GBK" w:hAnsi="方正小标宋_GBK" w:eastAsia="方正小标宋_GBK" w:cs="方正小标宋_GBK"/>
          <w:sz w:val="44"/>
          <w:szCs w:val="44"/>
          <w:lang w:val="en-US" w:eastAsia="zh-CN"/>
        </w:rPr>
      </w:pPr>
    </w:p>
    <w:p>
      <w:pPr>
        <w:widowControl w:val="0"/>
        <w:wordWrap/>
        <w:adjustRightInd/>
        <w:snapToGrid/>
        <w:spacing w:line="570" w:lineRule="exact"/>
        <w:jc w:val="center"/>
        <w:textAlignment w:val="auto"/>
        <w:rPr>
          <w:rFonts w:hint="eastAsia" w:ascii="方正小标宋_GBK" w:hAnsi="方正小标宋_GBK" w:eastAsia="方正小标宋_GBK" w:cs="方正小标宋_GBK"/>
          <w:sz w:val="44"/>
          <w:szCs w:val="44"/>
          <w:lang w:val="en-US" w:eastAsia="zh-CN"/>
        </w:rPr>
      </w:pPr>
    </w:p>
    <w:p>
      <w:pPr>
        <w:widowControl w:val="0"/>
        <w:wordWrap/>
        <w:adjustRightInd/>
        <w:snapToGrid/>
        <w:spacing w:line="570" w:lineRule="exact"/>
        <w:jc w:val="center"/>
        <w:textAlignment w:val="auto"/>
        <w:rPr>
          <w:rFonts w:hint="eastAsia" w:ascii="方正小标宋_GBK" w:hAnsi="方正小标宋_GBK" w:eastAsia="方正小标宋_GBK" w:cs="方正小标宋_GBK"/>
          <w:sz w:val="44"/>
          <w:szCs w:val="44"/>
          <w:lang w:val="en-US" w:eastAsia="zh-CN"/>
        </w:rPr>
      </w:pPr>
    </w:p>
    <w:p>
      <w:pPr>
        <w:widowControl w:val="0"/>
        <w:wordWrap/>
        <w:adjustRightInd/>
        <w:snapToGrid/>
        <w:spacing w:line="570" w:lineRule="exact"/>
        <w:jc w:val="center"/>
        <w:textAlignment w:val="auto"/>
        <w:rPr>
          <w:rFonts w:hint="eastAsia" w:ascii="方正小标宋_GBK" w:hAnsi="方正小标宋_GBK" w:eastAsia="方正小标宋_GBK" w:cs="方正小标宋_GBK"/>
          <w:sz w:val="44"/>
          <w:szCs w:val="44"/>
          <w:lang w:val="en-US" w:eastAsia="zh-CN"/>
        </w:rPr>
      </w:pPr>
    </w:p>
    <w:p>
      <w:pPr>
        <w:widowControl w:val="0"/>
        <w:wordWrap/>
        <w:adjustRightInd/>
        <w:snapToGrid/>
        <w:spacing w:line="570" w:lineRule="exact"/>
        <w:jc w:val="center"/>
        <w:textAlignment w:val="auto"/>
        <w:rPr>
          <w:rFonts w:hint="eastAsia" w:ascii="方正小标宋_GBK" w:hAnsi="方正小标宋_GBK" w:eastAsia="方正小标宋_GBK" w:cs="方正小标宋_GBK"/>
          <w:sz w:val="44"/>
          <w:szCs w:val="44"/>
          <w:lang w:val="en-US" w:eastAsia="zh-CN"/>
        </w:rPr>
      </w:pPr>
    </w:p>
    <w:p>
      <w:pPr>
        <w:widowControl w:val="0"/>
        <w:wordWrap/>
        <w:adjustRightInd/>
        <w:snapToGrid/>
        <w:spacing w:line="570" w:lineRule="exact"/>
        <w:jc w:val="center"/>
        <w:textAlignment w:val="auto"/>
        <w:rPr>
          <w:rFonts w:hint="eastAsia" w:ascii="方正小标宋_GBK" w:hAnsi="方正小标宋_GBK" w:eastAsia="方正小标宋_GBK" w:cs="方正小标宋_GBK"/>
          <w:sz w:val="44"/>
          <w:szCs w:val="44"/>
          <w:lang w:val="en-US" w:eastAsia="zh-CN"/>
        </w:rPr>
      </w:pPr>
    </w:p>
    <w:p>
      <w:pPr>
        <w:widowControl w:val="0"/>
        <w:wordWrap/>
        <w:adjustRightInd/>
        <w:snapToGrid/>
        <w:spacing w:line="570" w:lineRule="exact"/>
        <w:jc w:val="center"/>
        <w:textAlignment w:val="auto"/>
        <w:rPr>
          <w:rFonts w:hint="eastAsia" w:ascii="方正小标宋_GBK" w:hAnsi="方正小标宋_GBK" w:eastAsia="方正小标宋_GBK" w:cs="方正小标宋_GBK"/>
          <w:sz w:val="44"/>
          <w:szCs w:val="44"/>
          <w:lang w:val="en-US" w:eastAsia="zh-CN"/>
        </w:rPr>
      </w:pPr>
    </w:p>
    <w:p>
      <w:pPr>
        <w:widowControl w:val="0"/>
        <w:wordWrap/>
        <w:adjustRightInd/>
        <w:snapToGrid/>
        <w:spacing w:line="570" w:lineRule="exact"/>
        <w:jc w:val="center"/>
        <w:textAlignment w:val="auto"/>
        <w:rPr>
          <w:rFonts w:hint="eastAsia" w:ascii="方正小标宋_GBK" w:hAnsi="方正小标宋_GBK" w:eastAsia="方正小标宋_GBK" w:cs="方正小标宋_GBK"/>
          <w:sz w:val="44"/>
          <w:szCs w:val="44"/>
          <w:lang w:val="en-US" w:eastAsia="zh-CN"/>
        </w:rPr>
      </w:pPr>
    </w:p>
    <w:p>
      <w:pPr>
        <w:widowControl w:val="0"/>
        <w:wordWrap/>
        <w:adjustRightInd/>
        <w:snapToGrid/>
        <w:spacing w:line="570" w:lineRule="exact"/>
        <w:jc w:val="center"/>
        <w:textAlignment w:val="auto"/>
        <w:rPr>
          <w:rFonts w:hint="eastAsia" w:ascii="方正小标宋_GBK" w:hAnsi="方正小标宋_GBK" w:eastAsia="方正小标宋_GBK" w:cs="方正小标宋_GBK"/>
          <w:sz w:val="44"/>
          <w:szCs w:val="44"/>
          <w:lang w:val="en-US" w:eastAsia="zh-CN"/>
        </w:rPr>
      </w:pPr>
    </w:p>
    <w:sectPr>
      <w:headerReference r:id="rId3" w:type="default"/>
      <w:footerReference r:id="rId4" w:type="default"/>
      <w:pgSz w:w="11906" w:h="16838"/>
      <w:pgMar w:top="2098" w:right="1474" w:bottom="1984" w:left="1587" w:header="851" w:footer="992" w:gutter="0"/>
      <w:paperSrc/>
      <w:pgNumType w:fmt="numberInDash"/>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6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微软雅黑">
    <w:altName w:val="方正黑体_GBK"/>
    <w:panose1 w:val="020B0503020204020204"/>
    <w:charset w:val="86"/>
    <w:family w:val="auto"/>
    <w:pitch w:val="default"/>
    <w:sig w:usb0="00000000" w:usb1="00000000" w:usb2="00000016" w:usb3="00000000" w:csb0="0004001F" w:csb1="00000000"/>
  </w:font>
  <w:font w:name="楷体_GB2312">
    <w:altName w:val="方正楷体_GBK"/>
    <w:panose1 w:val="02010609030101010101"/>
    <w:charset w:val="86"/>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ascii="Calibri" w:hAnsi="Calibri" w:eastAsia="宋体" w:cs="黑体"/>
        <w:kern w:val="2"/>
        <w:sz w:val="18"/>
        <w:szCs w:val="24"/>
        <w:lang w:val="en-US" w:eastAsia="zh-CN" w:bidi="ar-SA"/>
      </w:rPr>
      <w:pict>
        <v:shape id="_x0000_s2049" o:spid="_x0000_s2049" o:spt="202" type="#_x0000_t202" style="position:absolute;left:0pt;margin-top:0pt;height:144pt;width:144pt;mso-position-horizontal:outside;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snapToGrid w:val="0"/>
                  <w:rPr>
                    <w:rFonts w:hint="eastAsia" w:eastAsia="宋体"/>
                    <w:sz w:val="1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t>- 1 -</w:t>
                </w:r>
                <w:r>
                  <w:rPr>
                    <w:rFonts w:hint="default" w:ascii="Times New Roman" w:hAnsi="Times New Roman" w:cs="Times New Roman"/>
                    <w:sz w:val="28"/>
                    <w:szCs w:val="28"/>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94BE91"/>
    <w:multiLevelType w:val="singleLevel"/>
    <w:tmpl w:val="6594BE91"/>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docVars>
    <w:docVar w:name="commondata" w:val="eyJoZGlkIjoiZDgzMWRhYzkzODI4M2E0NmQyYzgwMjZkMzM4OTBkZWYifQ=="/>
  </w:docVars>
  <w:rsids>
    <w:rsidRoot w:val="00000000"/>
    <w:rsid w:val="02AC5A72"/>
    <w:rsid w:val="03131BE1"/>
    <w:rsid w:val="0C020FC2"/>
    <w:rsid w:val="13F83651"/>
    <w:rsid w:val="18347B85"/>
    <w:rsid w:val="18464840"/>
    <w:rsid w:val="1B577784"/>
    <w:rsid w:val="1C9706F7"/>
    <w:rsid w:val="1DAE6980"/>
    <w:rsid w:val="1F9B4A39"/>
    <w:rsid w:val="245109A3"/>
    <w:rsid w:val="26AB5818"/>
    <w:rsid w:val="277F0B5A"/>
    <w:rsid w:val="2C2B4A06"/>
    <w:rsid w:val="2F172E4F"/>
    <w:rsid w:val="31287CCA"/>
    <w:rsid w:val="31C02DAE"/>
    <w:rsid w:val="3AD0644B"/>
    <w:rsid w:val="3B403E51"/>
    <w:rsid w:val="3BDA7340"/>
    <w:rsid w:val="3D965098"/>
    <w:rsid w:val="446563A6"/>
    <w:rsid w:val="497C50C6"/>
    <w:rsid w:val="4B691746"/>
    <w:rsid w:val="50261E3F"/>
    <w:rsid w:val="553E6869"/>
    <w:rsid w:val="5ACD2D08"/>
    <w:rsid w:val="5DB23A65"/>
    <w:rsid w:val="5DE55498"/>
    <w:rsid w:val="63F0428F"/>
    <w:rsid w:val="64236257"/>
    <w:rsid w:val="671D62FF"/>
    <w:rsid w:val="67305EDA"/>
    <w:rsid w:val="67FC31E0"/>
    <w:rsid w:val="69455B59"/>
    <w:rsid w:val="6A8504D0"/>
    <w:rsid w:val="6ED66D0D"/>
    <w:rsid w:val="6FB026CC"/>
    <w:rsid w:val="75051CD3"/>
    <w:rsid w:val="780F0F07"/>
    <w:rsid w:val="784173A2"/>
    <w:rsid w:val="7A7206F1"/>
    <w:rsid w:val="7CB765E5"/>
    <w:rsid w:val="7E71317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paragraph" w:styleId="2">
    <w:name w:val="heading 3"/>
    <w:basedOn w:val="1"/>
    <w:next w:val="1"/>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styleId="6">
    <w:name w:val="Normal (Web)"/>
    <w:basedOn w:val="1"/>
    <w:qFormat/>
    <w:uiPriority w:val="0"/>
    <w:pPr>
      <w:spacing w:before="0" w:beforeAutospacing="1" w:after="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1128</Words>
  <Characters>1222</Characters>
  <Lines>0</Lines>
  <Paragraphs>0</Paragraphs>
  <TotalTime>0</TotalTime>
  <ScaleCrop>false</ScaleCrop>
  <LinksUpToDate>false</LinksUpToDate>
  <CharactersWithSpaces>0</CharactersWithSpaces>
  <Application>WPS Office_11.8.2.1131_F1E327BC-269C-435d-A152-05C5408002CA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2023-01-09T14:05:00Z</dcterms:created>
  <dc:creator>lenovo</dc:creator>
  <cp:lastModifiedBy>huaweii</cp:lastModifiedBy>
  <cp:lastPrinted>2024-01-08T10:20:00Z</cp:lastPrinted>
  <dcterms:modified xsi:type="dcterms:W3CDTF">2024-01-11T11:07:52Z</dcterms:modified>
  <dc:title>政府信息公开工作年度报告按照国办公开办函〔2021〕30号文件要求的统一格式发布，与往年年报内容不得雷同。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2052-11.8.2.1131</vt:lpwstr>
  </property>
  <property fmtid="{D5CDD505-2E9C-101B-9397-08002B2CF9AE}" pid="3" name="ICV">
    <vt:lpwstr>06EB3DCBAB1D49878785ADFE14E26523_13</vt:lpwstr>
  </property>
</Properties>
</file>