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3E88C">
      <w:pPr>
        <w:pStyle w:val="11"/>
        <w:keepNext w:val="0"/>
        <w:keepLines w:val="0"/>
        <w:pageBreakBefore w:val="0"/>
        <w:widowControl/>
        <w:kinsoku/>
        <w:wordWrap/>
        <w:overflowPunct/>
        <w:topLinePunct w:val="0"/>
        <w:autoSpaceDE/>
        <w:autoSpaceDN/>
        <w:bidi w:val="0"/>
        <w:adjustRightInd/>
        <w:snapToGrid/>
        <w:spacing w:line="590" w:lineRule="exact"/>
        <w:ind w:left="0" w:leftChars="0" w:firstLine="0" w:firstLineChars="0"/>
        <w:textAlignment w:val="auto"/>
        <w:rPr>
          <w:rFonts w:hint="eastAsia" w:ascii="黑体" w:hAnsi="黑体" w:eastAsia="黑体" w:cs="黑体"/>
          <w:lang w:val="en-US" w:eastAsia="zh-CN"/>
        </w:rPr>
      </w:pPr>
      <w:bookmarkStart w:id="0" w:name="_GoBack"/>
      <w:bookmarkEnd w:id="0"/>
      <w:r>
        <w:rPr>
          <w:rFonts w:hint="eastAsia" w:ascii="黑体" w:hAnsi="黑体" w:eastAsia="黑体" w:cs="黑体"/>
          <w:lang w:val="en-US" w:eastAsia="zh-CN"/>
        </w:rPr>
        <w:t>附件</w:t>
      </w:r>
    </w:p>
    <w:p w14:paraId="5974BD88">
      <w:pPr>
        <w:spacing w:line="590" w:lineRule="exact"/>
        <w:jc w:val="center"/>
        <w:rPr>
          <w:rFonts w:hint="eastAsia" w:ascii="方正小标宋_GBK" w:eastAsia="方正小标宋_GBK"/>
          <w:color w:val="000000"/>
          <w:spacing w:val="0"/>
          <w:sz w:val="44"/>
          <w:szCs w:val="44"/>
        </w:rPr>
      </w:pPr>
      <w:r>
        <w:rPr>
          <w:rFonts w:hint="eastAsia" w:ascii="方正小标宋_GBK" w:eastAsia="方正小标宋_GBK"/>
          <w:color w:val="000000"/>
          <w:spacing w:val="0"/>
          <w:sz w:val="44"/>
          <w:szCs w:val="44"/>
          <w:lang w:eastAsia="zh-CN"/>
        </w:rPr>
        <w:t>余</w:t>
      </w:r>
      <w:r>
        <w:rPr>
          <w:rFonts w:hint="eastAsia" w:ascii="方正小标宋_GBK" w:eastAsia="方正小标宋_GBK"/>
          <w:color w:val="000000"/>
          <w:spacing w:val="0"/>
          <w:sz w:val="44"/>
          <w:szCs w:val="44"/>
        </w:rPr>
        <w:t>杭区</w:t>
      </w:r>
      <w:r>
        <w:rPr>
          <w:rFonts w:hint="eastAsia" w:ascii="方正小标宋_GBK" w:eastAsia="方正小标宋_GBK"/>
          <w:color w:val="000000"/>
          <w:spacing w:val="0"/>
          <w:sz w:val="44"/>
          <w:szCs w:val="44"/>
          <w:lang w:eastAsia="zh-CN"/>
        </w:rPr>
        <w:t>政府投资基金引导类</w:t>
      </w:r>
      <w:r>
        <w:rPr>
          <w:rFonts w:hint="eastAsia" w:ascii="方正小标宋_GBK" w:eastAsia="方正小标宋_GBK"/>
          <w:color w:val="000000"/>
          <w:spacing w:val="0"/>
          <w:sz w:val="44"/>
          <w:szCs w:val="44"/>
        </w:rPr>
        <w:t>直接投资</w:t>
      </w:r>
    </w:p>
    <w:p w14:paraId="2490E926">
      <w:pPr>
        <w:spacing w:line="590" w:lineRule="exact"/>
        <w:jc w:val="center"/>
        <w:rPr>
          <w:rFonts w:hint="eastAsia" w:ascii="方正小标宋_GBK" w:eastAsia="方正小标宋_GBK"/>
          <w:color w:val="000000"/>
          <w:spacing w:val="0"/>
          <w:sz w:val="44"/>
          <w:szCs w:val="44"/>
        </w:rPr>
      </w:pPr>
      <w:r>
        <w:rPr>
          <w:rFonts w:hint="eastAsia" w:ascii="方正小标宋_GBK" w:eastAsia="方正小标宋_GBK"/>
          <w:color w:val="000000"/>
          <w:spacing w:val="0"/>
          <w:sz w:val="44"/>
          <w:szCs w:val="44"/>
        </w:rPr>
        <w:t>管理办法</w:t>
      </w:r>
    </w:p>
    <w:p w14:paraId="196BAB43">
      <w:pPr>
        <w:spacing w:line="590" w:lineRule="exact"/>
        <w:jc w:val="center"/>
        <w:rPr>
          <w:rFonts w:hint="eastAsia" w:ascii="楷体" w:hAnsi="楷体" w:eastAsia="楷体" w:cs="楷体"/>
          <w:color w:val="000000"/>
          <w:spacing w:val="0"/>
          <w:sz w:val="32"/>
          <w:szCs w:val="32"/>
          <w:lang w:eastAsia="zh-CN"/>
        </w:rPr>
      </w:pPr>
      <w:r>
        <w:rPr>
          <w:rFonts w:hint="eastAsia" w:ascii="楷体" w:hAnsi="楷体" w:eastAsia="楷体" w:cs="楷体"/>
          <w:color w:val="000000"/>
          <w:spacing w:val="0"/>
          <w:sz w:val="32"/>
          <w:szCs w:val="32"/>
          <w:lang w:eastAsia="zh-CN"/>
        </w:rPr>
        <w:t>（</w:t>
      </w:r>
      <w:r>
        <w:rPr>
          <w:rFonts w:hint="eastAsia" w:ascii="楷体" w:hAnsi="楷体" w:eastAsia="楷体" w:cs="楷体"/>
          <w:color w:val="000000"/>
          <w:spacing w:val="0"/>
          <w:sz w:val="32"/>
          <w:szCs w:val="32"/>
          <w:lang w:val="en-US" w:eastAsia="zh-CN"/>
        </w:rPr>
        <w:t>征求意见稿</w:t>
      </w:r>
      <w:r>
        <w:rPr>
          <w:rFonts w:hint="eastAsia" w:ascii="楷体" w:hAnsi="楷体" w:eastAsia="楷体" w:cs="楷体"/>
          <w:color w:val="000000"/>
          <w:spacing w:val="0"/>
          <w:sz w:val="32"/>
          <w:szCs w:val="32"/>
          <w:lang w:eastAsia="zh-CN"/>
        </w:rPr>
        <w:t>）</w:t>
      </w:r>
    </w:p>
    <w:p w14:paraId="4EA780A1">
      <w:pPr>
        <w:spacing w:line="590" w:lineRule="exact"/>
        <w:ind w:firstLine="616" w:firstLineChars="200"/>
        <w:rPr>
          <w:rFonts w:ascii="仿宋_GB2312" w:hAnsi="华文仿宋"/>
          <w:color w:val="000000"/>
          <w:szCs w:val="32"/>
        </w:rPr>
      </w:pPr>
    </w:p>
    <w:p w14:paraId="0D9A6067">
      <w:pPr>
        <w:spacing w:line="590" w:lineRule="exact"/>
        <w:ind w:firstLine="616" w:firstLineChars="200"/>
        <w:rPr>
          <w:rFonts w:hint="default" w:ascii="Times New Roman" w:hAnsi="Times New Roman" w:eastAsia="仿宋_GB2312" w:cs="Times New Roman"/>
          <w:color w:val="000000"/>
          <w:szCs w:val="32"/>
        </w:rPr>
      </w:pPr>
      <w:r>
        <w:rPr>
          <w:rFonts w:hint="default" w:ascii="Times New Roman" w:hAnsi="Times New Roman" w:eastAsia="仿宋_GB2312" w:cs="Times New Roman"/>
          <w:color w:val="000000"/>
          <w:szCs w:val="32"/>
        </w:rPr>
        <w:t>根据《余杭区区级政府投资基金管理办法》文件精神，为加强余杭区</w:t>
      </w:r>
      <w:r>
        <w:rPr>
          <w:rFonts w:hint="eastAsia" w:ascii="Times New Roman" w:hAnsi="Times New Roman" w:cs="Times New Roman"/>
          <w:color w:val="000000"/>
          <w:szCs w:val="32"/>
          <w:lang w:eastAsia="zh-CN"/>
        </w:rPr>
        <w:t>区级政府投资</w:t>
      </w:r>
      <w:r>
        <w:rPr>
          <w:rFonts w:hint="default" w:ascii="Times New Roman" w:hAnsi="Times New Roman" w:eastAsia="仿宋_GB2312" w:cs="Times New Roman"/>
          <w:color w:val="000000"/>
          <w:szCs w:val="32"/>
        </w:rPr>
        <w:t>基金直接投资（以下简称“</w:t>
      </w:r>
      <w:r>
        <w:rPr>
          <w:rFonts w:hint="eastAsia" w:ascii="Times New Roman" w:hAnsi="Times New Roman" w:cs="Times New Roman"/>
          <w:color w:val="000000"/>
          <w:szCs w:val="32"/>
          <w:lang w:eastAsia="zh-CN"/>
        </w:rPr>
        <w:t>政府投资</w:t>
      </w:r>
      <w:r>
        <w:rPr>
          <w:rFonts w:hint="default" w:ascii="Times New Roman" w:hAnsi="Times New Roman" w:eastAsia="仿宋_GB2312" w:cs="Times New Roman"/>
          <w:color w:val="000000"/>
          <w:szCs w:val="32"/>
        </w:rPr>
        <w:t>基金直投”）的规范管理与运作，推进我区创业创新和产业转型升级，特制定本管理办法。</w:t>
      </w:r>
    </w:p>
    <w:p w14:paraId="0DA6A62D">
      <w:pPr>
        <w:spacing w:line="590" w:lineRule="exact"/>
        <w:ind w:firstLine="616" w:firstLineChars="200"/>
        <w:rPr>
          <w:rFonts w:ascii="黑体" w:hAnsi="黑体" w:eastAsia="黑体" w:cs="Times New Roman"/>
          <w:color w:val="000000"/>
          <w:szCs w:val="32"/>
        </w:rPr>
      </w:pPr>
      <w:r>
        <w:rPr>
          <w:rFonts w:hint="eastAsia" w:ascii="黑体" w:hAnsi="黑体" w:eastAsia="黑体" w:cs="Times New Roman"/>
          <w:color w:val="000000"/>
          <w:szCs w:val="32"/>
        </w:rPr>
        <w:t>一、基本原则</w:t>
      </w:r>
    </w:p>
    <w:p w14:paraId="7FA0EF26">
      <w:pPr>
        <w:spacing w:line="590" w:lineRule="exact"/>
        <w:ind w:firstLine="616" w:firstLineChars="200"/>
        <w:rPr>
          <w:rFonts w:hint="default" w:ascii="Times New Roman" w:hAnsi="Times New Roman" w:eastAsia="仿宋_GB2312" w:cs="Times New Roman"/>
          <w:color w:val="000000"/>
          <w:szCs w:val="32"/>
        </w:rPr>
      </w:pPr>
      <w:r>
        <w:rPr>
          <w:rFonts w:hint="eastAsia" w:ascii="Times New Roman" w:hAnsi="Times New Roman" w:cs="Times New Roman"/>
          <w:color w:val="000000"/>
          <w:szCs w:val="32"/>
          <w:lang w:eastAsia="zh-CN"/>
        </w:rPr>
        <w:t>政府投资</w:t>
      </w:r>
      <w:r>
        <w:rPr>
          <w:rFonts w:hint="default" w:ascii="Times New Roman" w:hAnsi="Times New Roman" w:eastAsia="仿宋_GB2312" w:cs="Times New Roman"/>
          <w:color w:val="000000"/>
          <w:szCs w:val="32"/>
        </w:rPr>
        <w:t>基金直投按照</w:t>
      </w:r>
      <w:r>
        <w:rPr>
          <w:rFonts w:hint="eastAsia" w:ascii="Times New Roman" w:hAnsi="Times New Roman" w:cs="Times New Roman"/>
          <w:color w:val="000000"/>
          <w:szCs w:val="32"/>
          <w:lang w:eastAsia="zh-CN"/>
        </w:rPr>
        <w:t>“</w:t>
      </w:r>
      <w:r>
        <w:rPr>
          <w:rFonts w:hint="default" w:ascii="Times New Roman" w:hAnsi="Times New Roman" w:eastAsia="仿宋_GB2312" w:cs="Times New Roman"/>
          <w:color w:val="000000"/>
          <w:szCs w:val="32"/>
        </w:rPr>
        <w:t>政府引导、重点突出、科学决策、防控风险</w:t>
      </w:r>
      <w:r>
        <w:rPr>
          <w:rFonts w:hint="eastAsia" w:ascii="Times New Roman" w:hAnsi="Times New Roman" w:cs="Times New Roman"/>
          <w:color w:val="000000"/>
          <w:szCs w:val="32"/>
          <w:lang w:eastAsia="zh-CN"/>
        </w:rPr>
        <w:t>”</w:t>
      </w:r>
      <w:r>
        <w:rPr>
          <w:rFonts w:hint="default" w:ascii="Times New Roman" w:hAnsi="Times New Roman" w:eastAsia="仿宋_GB2312" w:cs="Times New Roman"/>
          <w:color w:val="000000"/>
          <w:szCs w:val="32"/>
        </w:rPr>
        <w:t>原则对余杭区重点行业、重点企业进行直接股权投资，与被投资企业利益共享、风险共担。</w:t>
      </w:r>
    </w:p>
    <w:p w14:paraId="673FE61E">
      <w:pPr>
        <w:spacing w:line="590" w:lineRule="exact"/>
        <w:ind w:firstLine="640" w:firstLineChars="200"/>
        <w:rPr>
          <w:rFonts w:hint="eastAsia" w:ascii="黑体" w:hAnsi="黑体" w:eastAsia="黑体" w:cs="Times New Roman"/>
          <w:color w:val="000000"/>
          <w:spacing w:val="0"/>
          <w:kern w:val="0"/>
          <w:szCs w:val="32"/>
          <w:highlight w:val="none"/>
          <w:lang w:eastAsia="zh-CN"/>
        </w:rPr>
      </w:pPr>
      <w:r>
        <w:rPr>
          <w:rFonts w:hint="eastAsia" w:ascii="黑体" w:hAnsi="黑体" w:eastAsia="黑体" w:cs="Times New Roman"/>
          <w:color w:val="000000"/>
          <w:spacing w:val="0"/>
          <w:kern w:val="0"/>
          <w:szCs w:val="32"/>
          <w:highlight w:val="none"/>
          <w:lang w:eastAsia="zh-CN"/>
        </w:rPr>
        <w:t>二</w:t>
      </w:r>
      <w:r>
        <w:rPr>
          <w:rFonts w:hint="eastAsia" w:ascii="黑体" w:hAnsi="黑体" w:eastAsia="黑体" w:cs="Times New Roman"/>
          <w:color w:val="000000"/>
          <w:spacing w:val="0"/>
          <w:kern w:val="0"/>
          <w:szCs w:val="32"/>
          <w:highlight w:val="none"/>
        </w:rPr>
        <w:t>、</w:t>
      </w:r>
      <w:r>
        <w:rPr>
          <w:rFonts w:hint="eastAsia" w:ascii="黑体" w:hAnsi="黑体" w:eastAsia="黑体" w:cs="Times New Roman"/>
          <w:color w:val="000000"/>
          <w:spacing w:val="0"/>
          <w:kern w:val="0"/>
          <w:szCs w:val="32"/>
          <w:highlight w:val="none"/>
          <w:lang w:eastAsia="zh-CN"/>
        </w:rPr>
        <w:t>投资对象</w:t>
      </w:r>
    </w:p>
    <w:p w14:paraId="20214DFB">
      <w:pPr>
        <w:spacing w:line="590" w:lineRule="exact"/>
        <w:ind w:firstLine="616" w:firstLineChars="200"/>
        <w:rPr>
          <w:rFonts w:hint="eastAsia" w:cs="Times New Roman"/>
          <w:szCs w:val="32"/>
          <w:highlight w:val="none"/>
          <w:lang w:val="en-US" w:eastAsia="zh-CN"/>
        </w:rPr>
      </w:pPr>
      <w:r>
        <w:rPr>
          <w:rFonts w:hint="eastAsia" w:cs="Times New Roman"/>
          <w:szCs w:val="32"/>
          <w:highlight w:val="none"/>
          <w:lang w:val="en-US" w:eastAsia="zh-CN"/>
        </w:rPr>
        <w:t>被投资企业应符合以下条件：</w:t>
      </w:r>
    </w:p>
    <w:p w14:paraId="6DD23969">
      <w:pPr>
        <w:spacing w:line="590" w:lineRule="exact"/>
        <w:ind w:firstLine="616" w:firstLineChars="200"/>
        <w:rPr>
          <w:rFonts w:hint="default" w:ascii="Times New Roman" w:hAnsi="Times New Roman" w:eastAsia="仿宋_GB2312" w:cs="Times New Roman"/>
          <w:szCs w:val="32"/>
          <w:highlight w:val="none"/>
        </w:rPr>
      </w:pPr>
      <w:r>
        <w:rPr>
          <w:rFonts w:hint="default" w:ascii="Times New Roman" w:hAnsi="Times New Roman" w:eastAsia="仿宋_GB2312" w:cs="Times New Roman"/>
          <w:szCs w:val="32"/>
          <w:highlight w:val="none"/>
        </w:rPr>
        <w:t>1.注册资金实缴到位；</w:t>
      </w:r>
    </w:p>
    <w:p w14:paraId="63FE1FC8">
      <w:pPr>
        <w:spacing w:line="590" w:lineRule="exact"/>
        <w:ind w:firstLine="616" w:firstLineChars="200"/>
        <w:rPr>
          <w:rFonts w:hint="default" w:ascii="Times New Roman" w:hAnsi="Times New Roman" w:eastAsia="仿宋_GB2312" w:cs="Times New Roman"/>
          <w:szCs w:val="32"/>
          <w:highlight w:val="none"/>
        </w:rPr>
      </w:pPr>
      <w:r>
        <w:rPr>
          <w:rFonts w:hint="default" w:ascii="Times New Roman" w:hAnsi="Times New Roman" w:eastAsia="仿宋_GB2312" w:cs="Times New Roman"/>
          <w:szCs w:val="32"/>
          <w:highlight w:val="none"/>
        </w:rPr>
        <w:t>2.公司法律和财务方面合法合规，不存在影响持续经营的纠纷、诉讼、仲裁等重大事项；</w:t>
      </w:r>
    </w:p>
    <w:p w14:paraId="79C48878">
      <w:pPr>
        <w:spacing w:line="590" w:lineRule="exact"/>
        <w:ind w:firstLine="616" w:firstLineChars="200"/>
        <w:rPr>
          <w:rFonts w:hint="default" w:ascii="Times New Roman" w:hAnsi="Times New Roman" w:eastAsia="仿宋_GB2312" w:cs="Times New Roman"/>
          <w:szCs w:val="32"/>
          <w:highlight w:val="none"/>
        </w:rPr>
      </w:pPr>
      <w:r>
        <w:rPr>
          <w:rFonts w:hint="default" w:ascii="Times New Roman" w:hAnsi="Times New Roman" w:eastAsia="仿宋_GB2312" w:cs="Times New Roman"/>
          <w:szCs w:val="32"/>
          <w:highlight w:val="none"/>
        </w:rPr>
        <w:t>3.公司具备</w:t>
      </w:r>
      <w:r>
        <w:rPr>
          <w:rFonts w:hint="default" w:ascii="Times New Roman" w:hAnsi="Times New Roman" w:eastAsia="仿宋_GB2312" w:cs="Times New Roman"/>
          <w:szCs w:val="32"/>
          <w:highlight w:val="none"/>
          <w:lang w:val="en-US" w:eastAsia="zh-CN"/>
        </w:rPr>
        <w:t>融资条件，即本轮融资有社会资本参与或过往融资中存在社会资本参与</w:t>
      </w:r>
      <w:r>
        <w:rPr>
          <w:rFonts w:hint="default" w:ascii="Times New Roman" w:hAnsi="Times New Roman" w:eastAsia="仿宋_GB2312" w:cs="Times New Roman"/>
          <w:szCs w:val="32"/>
          <w:highlight w:val="none"/>
        </w:rPr>
        <w:t>；</w:t>
      </w:r>
    </w:p>
    <w:p w14:paraId="1CB69B0A">
      <w:pPr>
        <w:spacing w:line="590" w:lineRule="exact"/>
        <w:ind w:firstLine="616" w:firstLineChars="200"/>
        <w:rPr>
          <w:rFonts w:hint="default" w:ascii="Times New Roman" w:hAnsi="Times New Roman" w:eastAsia="仿宋_GB2312" w:cs="Times New Roman"/>
          <w:szCs w:val="32"/>
          <w:highlight w:val="none"/>
        </w:rPr>
      </w:pPr>
      <w:r>
        <w:rPr>
          <w:rFonts w:hint="default" w:ascii="Times New Roman" w:hAnsi="Times New Roman" w:eastAsia="仿宋_GB2312" w:cs="Times New Roman"/>
          <w:szCs w:val="32"/>
          <w:highlight w:val="none"/>
        </w:rPr>
        <w:t>4.不存在其他相关办法禁止准入的情况。</w:t>
      </w:r>
    </w:p>
    <w:p w14:paraId="13FAC4DB">
      <w:pPr>
        <w:spacing w:line="590" w:lineRule="exact"/>
        <w:ind w:firstLine="616" w:firstLineChars="200"/>
        <w:rPr>
          <w:rFonts w:hint="eastAsia" w:ascii="Times New Roman" w:hAnsi="Times New Roman" w:eastAsia="仿宋_GB2312" w:cs="Times New Roman"/>
          <w:szCs w:val="32"/>
          <w:highlight w:val="yellow"/>
          <w:lang w:val="en-US" w:eastAsia="zh-CN"/>
        </w:rPr>
      </w:pPr>
      <w:r>
        <w:rPr>
          <w:rFonts w:hint="eastAsia" w:ascii="Times New Roman" w:hAnsi="Times New Roman" w:cs="Times New Roman"/>
          <w:szCs w:val="32"/>
        </w:rPr>
        <w:t>引导类政府投资基金原则上不投向余杭区外，对</w:t>
      </w:r>
      <w:r>
        <w:rPr>
          <w:rFonts w:hint="eastAsia" w:ascii="Times New Roman" w:hAnsi="Times New Roman" w:cs="Times New Roman"/>
          <w:szCs w:val="32"/>
          <w:lang w:eastAsia="zh-CN"/>
        </w:rPr>
        <w:t>确</w:t>
      </w:r>
      <w:r>
        <w:rPr>
          <w:rFonts w:hint="eastAsia" w:ascii="Times New Roman" w:hAnsi="Times New Roman" w:cs="Times New Roman"/>
          <w:szCs w:val="32"/>
        </w:rPr>
        <w:t>须投向区外的</w:t>
      </w:r>
      <w:r>
        <w:rPr>
          <w:rFonts w:hint="eastAsia" w:ascii="Times New Roman" w:hAnsi="Times New Roman" w:cs="Times New Roman"/>
          <w:szCs w:val="32"/>
          <w:lang w:eastAsia="zh-CN"/>
        </w:rPr>
        <w:t>应</w:t>
      </w:r>
      <w:r>
        <w:rPr>
          <w:rFonts w:hint="eastAsia" w:ascii="Times New Roman" w:hAnsi="Times New Roman" w:cs="Times New Roman"/>
          <w:szCs w:val="32"/>
        </w:rPr>
        <w:t>满足</w:t>
      </w:r>
      <w:r>
        <w:rPr>
          <w:rFonts w:hint="eastAsia" w:ascii="Times New Roman" w:hAnsi="Times New Roman" w:cs="Times New Roman"/>
          <w:szCs w:val="32"/>
          <w:lang w:val="en-US" w:eastAsia="zh-CN"/>
        </w:rPr>
        <w:t>各项</w:t>
      </w:r>
      <w:r>
        <w:rPr>
          <w:rFonts w:hint="eastAsia" w:ascii="Times New Roman" w:hAnsi="Times New Roman" w:cs="Times New Roman"/>
          <w:szCs w:val="32"/>
        </w:rPr>
        <w:t>投资约束条件</w:t>
      </w:r>
      <w:r>
        <w:rPr>
          <w:rFonts w:hint="eastAsia" w:cs="Times New Roman"/>
          <w:szCs w:val="32"/>
          <w:lang w:eastAsia="zh-CN"/>
        </w:rPr>
        <w:t>。</w:t>
      </w:r>
    </w:p>
    <w:p w14:paraId="2ADA78B4">
      <w:pPr>
        <w:spacing w:line="590" w:lineRule="exact"/>
        <w:ind w:firstLine="640" w:firstLineChars="200"/>
        <w:rPr>
          <w:rFonts w:hint="eastAsia" w:ascii="黑体" w:hAnsi="黑体" w:eastAsia="黑体" w:cs="Times New Roman"/>
          <w:color w:val="000000"/>
          <w:spacing w:val="0"/>
          <w:kern w:val="0"/>
          <w:szCs w:val="32"/>
          <w:highlight w:val="none"/>
        </w:rPr>
      </w:pPr>
      <w:r>
        <w:rPr>
          <w:rFonts w:hint="eastAsia" w:ascii="黑体" w:hAnsi="黑体" w:eastAsia="黑体" w:cs="Times New Roman"/>
          <w:color w:val="000000"/>
          <w:spacing w:val="0"/>
          <w:kern w:val="0"/>
          <w:szCs w:val="32"/>
          <w:highlight w:val="none"/>
          <w:lang w:eastAsia="zh-CN"/>
        </w:rPr>
        <w:t>三、</w:t>
      </w:r>
      <w:r>
        <w:rPr>
          <w:rFonts w:hint="eastAsia" w:ascii="黑体" w:hAnsi="黑体" w:eastAsia="黑体" w:cs="Times New Roman"/>
          <w:color w:val="000000"/>
          <w:spacing w:val="0"/>
          <w:kern w:val="0"/>
          <w:szCs w:val="32"/>
          <w:highlight w:val="none"/>
        </w:rPr>
        <w:t>投资要素</w:t>
      </w:r>
    </w:p>
    <w:p w14:paraId="04225CBA">
      <w:pPr>
        <w:spacing w:line="590" w:lineRule="exact"/>
        <w:ind w:firstLine="616" w:firstLineChars="200"/>
        <w:rPr>
          <w:rFonts w:hint="default" w:ascii="Times New Roman" w:hAnsi="Times New Roman" w:cs="Times New Roman"/>
          <w:color w:val="000000"/>
          <w:szCs w:val="32"/>
          <w:highlight w:val="none"/>
          <w:lang w:val="en-US" w:eastAsia="zh-CN"/>
        </w:rPr>
      </w:pPr>
      <w:r>
        <w:rPr>
          <w:rFonts w:hint="default" w:ascii="Times New Roman" w:hAnsi="Times New Roman" w:cs="Times New Roman"/>
          <w:color w:val="000000"/>
          <w:szCs w:val="32"/>
          <w:highlight w:val="none"/>
        </w:rPr>
        <w:t>1.</w:t>
      </w:r>
      <w:r>
        <w:rPr>
          <w:rFonts w:hint="default" w:ascii="Times New Roman" w:hAnsi="Times New Roman" w:cs="Times New Roman"/>
          <w:color w:val="000000"/>
          <w:szCs w:val="32"/>
          <w:highlight w:val="none"/>
          <w:lang w:val="en-US" w:eastAsia="zh-CN"/>
        </w:rPr>
        <w:t>本轮融资有社会资本参与的项目</w:t>
      </w:r>
    </w:p>
    <w:p w14:paraId="4278C875">
      <w:pPr>
        <w:spacing w:line="590" w:lineRule="exact"/>
        <w:ind w:firstLine="616" w:firstLineChars="200"/>
        <w:rPr>
          <w:rFonts w:hint="eastAsia" w:ascii="Times New Roman" w:hAnsi="Times New Roman" w:eastAsia="仿宋_GB2312" w:cs="Times New Roman"/>
          <w:color w:val="000000"/>
          <w:szCs w:val="32"/>
          <w:highlight w:val="none"/>
          <w:lang w:eastAsia="zh-CN"/>
        </w:rPr>
      </w:pPr>
      <w:r>
        <w:rPr>
          <w:rFonts w:hint="default" w:ascii="Times New Roman" w:hAnsi="Times New Roman" w:cs="Times New Roman"/>
          <w:color w:val="000000"/>
          <w:szCs w:val="32"/>
          <w:highlight w:val="none"/>
          <w:lang w:val="en-US" w:eastAsia="zh-CN"/>
        </w:rPr>
        <w:t>（1）</w:t>
      </w:r>
      <w:r>
        <w:rPr>
          <w:rFonts w:hint="default" w:ascii="Times New Roman" w:hAnsi="Times New Roman" w:cs="Times New Roman"/>
          <w:color w:val="000000"/>
          <w:szCs w:val="32"/>
          <w:highlight w:val="none"/>
        </w:rPr>
        <w:t>投资金额原则上不超过6000万元</w:t>
      </w:r>
      <w:r>
        <w:rPr>
          <w:rFonts w:hint="eastAsia" w:cs="Times New Roman"/>
          <w:color w:val="000000"/>
          <w:szCs w:val="32"/>
          <w:highlight w:val="none"/>
          <w:lang w:eastAsia="zh-CN"/>
        </w:rPr>
        <w:t>；</w:t>
      </w:r>
    </w:p>
    <w:p w14:paraId="690C3B08">
      <w:pPr>
        <w:spacing w:line="590" w:lineRule="exact"/>
        <w:ind w:firstLine="616" w:firstLineChars="200"/>
        <w:rPr>
          <w:rFonts w:hint="eastAsia" w:ascii="Times New Roman" w:hAnsi="Times New Roman" w:eastAsia="仿宋_GB2312" w:cs="Times New Roman"/>
          <w:color w:val="000000"/>
          <w:szCs w:val="32"/>
          <w:highlight w:val="none"/>
          <w:lang w:eastAsia="zh-CN"/>
        </w:rPr>
      </w:pPr>
      <w:r>
        <w:rPr>
          <w:rFonts w:hint="default" w:ascii="Times New Roman" w:hAnsi="Times New Roman" w:cs="Times New Roman"/>
          <w:color w:val="000000"/>
          <w:szCs w:val="32"/>
          <w:highlight w:val="none"/>
          <w:lang w:val="en-US" w:eastAsia="zh-CN"/>
        </w:rPr>
        <w:t>（2）</w:t>
      </w:r>
      <w:r>
        <w:rPr>
          <w:rFonts w:hint="eastAsia" w:cs="Times New Roman"/>
          <w:color w:val="000000"/>
          <w:szCs w:val="32"/>
          <w:highlight w:val="none"/>
          <w:lang w:eastAsia="zh-CN"/>
        </w:rPr>
        <w:t>区级政府投资基金不担任领投方，</w:t>
      </w:r>
      <w:r>
        <w:rPr>
          <w:rFonts w:hint="eastAsia" w:ascii="Times New Roman" w:hAnsi="Times New Roman" w:cs="Times New Roman"/>
          <w:spacing w:val="-6"/>
          <w:szCs w:val="32"/>
        </w:rPr>
        <w:t>以定向基金方式出资的，持股比例应穿透至底层项目进行计算</w:t>
      </w:r>
      <w:r>
        <w:rPr>
          <w:rFonts w:hint="eastAsia" w:cs="Times New Roman"/>
          <w:color w:val="000000"/>
          <w:szCs w:val="32"/>
          <w:highlight w:val="none"/>
          <w:lang w:eastAsia="zh-CN"/>
        </w:rPr>
        <w:t>；</w:t>
      </w:r>
    </w:p>
    <w:p w14:paraId="6308ED2B">
      <w:pPr>
        <w:spacing w:line="590" w:lineRule="exact"/>
        <w:ind w:firstLine="616" w:firstLineChars="200"/>
        <w:rPr>
          <w:rFonts w:hint="default" w:ascii="Times New Roman" w:hAnsi="Times New Roman" w:cs="Times New Roman"/>
          <w:color w:val="000000"/>
          <w:szCs w:val="32"/>
          <w:highlight w:val="none"/>
        </w:rPr>
      </w:pPr>
      <w:r>
        <w:rPr>
          <w:rFonts w:hint="default" w:ascii="Times New Roman" w:hAnsi="Times New Roman" w:cs="Times New Roman"/>
          <w:color w:val="000000"/>
          <w:szCs w:val="32"/>
          <w:highlight w:val="none"/>
          <w:lang w:val="en-US" w:eastAsia="zh-CN"/>
        </w:rPr>
        <w:t>（3）</w:t>
      </w:r>
      <w:r>
        <w:rPr>
          <w:rFonts w:hint="default" w:ascii="Times New Roman" w:hAnsi="Times New Roman" w:cs="Times New Roman"/>
          <w:color w:val="000000"/>
          <w:szCs w:val="32"/>
          <w:highlight w:val="none"/>
        </w:rPr>
        <w:t>项目估值原则上</w:t>
      </w:r>
      <w:r>
        <w:rPr>
          <w:rFonts w:hint="default" w:ascii="Times New Roman" w:hAnsi="Times New Roman" w:cs="Times New Roman"/>
          <w:color w:val="000000"/>
          <w:szCs w:val="32"/>
          <w:highlight w:val="none"/>
          <w:lang w:val="en-US" w:eastAsia="zh-CN"/>
        </w:rPr>
        <w:t>由社会资本领投方确定</w:t>
      </w:r>
      <w:r>
        <w:rPr>
          <w:rFonts w:hint="default" w:ascii="Times New Roman" w:hAnsi="Times New Roman" w:cs="Times New Roman"/>
          <w:color w:val="000000"/>
          <w:szCs w:val="32"/>
          <w:highlight w:val="none"/>
        </w:rPr>
        <w:t>。</w:t>
      </w:r>
    </w:p>
    <w:p w14:paraId="5389737F">
      <w:pPr>
        <w:spacing w:line="590" w:lineRule="exact"/>
        <w:ind w:firstLine="616" w:firstLineChars="200"/>
        <w:rPr>
          <w:rFonts w:hint="default" w:ascii="Times New Roman" w:hAnsi="Times New Roman" w:cs="Times New Roman"/>
          <w:color w:val="000000"/>
          <w:szCs w:val="32"/>
          <w:highlight w:val="none"/>
          <w:lang w:val="en-US" w:eastAsia="zh-CN"/>
        </w:rPr>
      </w:pPr>
      <w:r>
        <w:rPr>
          <w:rFonts w:hint="default" w:ascii="Times New Roman" w:hAnsi="Times New Roman" w:cs="Times New Roman"/>
          <w:color w:val="000000"/>
          <w:szCs w:val="32"/>
          <w:highlight w:val="none"/>
          <w:lang w:val="en-US" w:eastAsia="zh-CN"/>
        </w:rPr>
        <w:t>2</w:t>
      </w:r>
      <w:r>
        <w:rPr>
          <w:rFonts w:hint="default" w:ascii="Times New Roman" w:hAnsi="Times New Roman" w:cs="Times New Roman"/>
          <w:color w:val="000000"/>
          <w:szCs w:val="32"/>
          <w:highlight w:val="none"/>
        </w:rPr>
        <w:t>.</w:t>
      </w:r>
      <w:r>
        <w:rPr>
          <w:rFonts w:hint="default" w:ascii="Times New Roman" w:hAnsi="Times New Roman" w:cs="Times New Roman"/>
          <w:color w:val="000000"/>
          <w:szCs w:val="32"/>
          <w:highlight w:val="none"/>
          <w:lang w:val="en-US" w:eastAsia="zh-CN"/>
        </w:rPr>
        <w:t>本轮融资无社会资本参与的项目</w:t>
      </w:r>
    </w:p>
    <w:p w14:paraId="0473E567">
      <w:pPr>
        <w:spacing w:line="590" w:lineRule="exact"/>
        <w:ind w:firstLine="616" w:firstLineChars="200"/>
        <w:rPr>
          <w:rFonts w:hint="default" w:ascii="Times New Roman" w:hAnsi="Times New Roman" w:cs="Times New Roman"/>
          <w:color w:val="000000"/>
          <w:szCs w:val="32"/>
          <w:highlight w:val="none"/>
        </w:rPr>
      </w:pPr>
      <w:r>
        <w:rPr>
          <w:rFonts w:hint="default" w:ascii="Times New Roman" w:hAnsi="Times New Roman" w:cs="Times New Roman"/>
          <w:color w:val="000000"/>
          <w:szCs w:val="32"/>
          <w:highlight w:val="none"/>
          <w:lang w:eastAsia="zh-CN"/>
        </w:rPr>
        <w:t>（</w:t>
      </w:r>
      <w:r>
        <w:rPr>
          <w:rFonts w:hint="default" w:ascii="Times New Roman" w:hAnsi="Times New Roman" w:cs="Times New Roman"/>
          <w:color w:val="000000"/>
          <w:szCs w:val="32"/>
          <w:highlight w:val="none"/>
          <w:lang w:val="en-US" w:eastAsia="zh-CN"/>
        </w:rPr>
        <w:t>1）</w:t>
      </w:r>
      <w:r>
        <w:rPr>
          <w:rFonts w:hint="default" w:ascii="Times New Roman" w:hAnsi="Times New Roman" w:cs="Times New Roman"/>
          <w:color w:val="000000"/>
          <w:szCs w:val="32"/>
          <w:highlight w:val="none"/>
        </w:rPr>
        <w:t>投资金额原则上不超过</w:t>
      </w:r>
      <w:r>
        <w:rPr>
          <w:rFonts w:hint="default" w:ascii="Times New Roman" w:hAnsi="Times New Roman" w:cs="Times New Roman"/>
          <w:color w:val="000000"/>
          <w:szCs w:val="32"/>
          <w:highlight w:val="none"/>
          <w:lang w:val="en-US" w:eastAsia="zh-CN"/>
        </w:rPr>
        <w:t>2</w:t>
      </w:r>
      <w:r>
        <w:rPr>
          <w:rFonts w:hint="default" w:ascii="Times New Roman" w:hAnsi="Times New Roman" w:cs="Times New Roman"/>
          <w:color w:val="000000"/>
          <w:szCs w:val="32"/>
          <w:highlight w:val="none"/>
        </w:rPr>
        <w:t>000万元。</w:t>
      </w:r>
    </w:p>
    <w:p w14:paraId="2BEC7CF7">
      <w:pPr>
        <w:spacing w:line="590" w:lineRule="exact"/>
        <w:ind w:firstLine="616" w:firstLineChars="200"/>
        <w:rPr>
          <w:rFonts w:hint="default" w:ascii="Times New Roman" w:hAnsi="Times New Roman" w:eastAsia="仿宋_GB2312" w:cs="Times New Roman"/>
          <w:color w:val="000000"/>
          <w:szCs w:val="32"/>
          <w:highlight w:val="none"/>
          <w:lang w:val="en-US" w:eastAsia="zh-CN"/>
        </w:rPr>
      </w:pPr>
      <w:r>
        <w:rPr>
          <w:rFonts w:hint="default" w:ascii="Times New Roman" w:hAnsi="Times New Roman" w:cs="Times New Roman"/>
          <w:color w:val="000000"/>
          <w:szCs w:val="32"/>
          <w:highlight w:val="none"/>
          <w:lang w:eastAsia="zh-CN"/>
        </w:rPr>
        <w:t>（</w:t>
      </w:r>
      <w:r>
        <w:rPr>
          <w:rFonts w:hint="default" w:ascii="Times New Roman" w:hAnsi="Times New Roman" w:cs="Times New Roman"/>
          <w:color w:val="000000"/>
          <w:szCs w:val="32"/>
          <w:highlight w:val="none"/>
          <w:lang w:val="en-US" w:eastAsia="zh-CN"/>
        </w:rPr>
        <w:t>2）</w:t>
      </w:r>
      <w:r>
        <w:rPr>
          <w:rFonts w:hint="default" w:ascii="Times New Roman" w:hAnsi="Times New Roman" w:cs="Times New Roman"/>
          <w:color w:val="000000"/>
          <w:szCs w:val="32"/>
          <w:highlight w:val="none"/>
        </w:rPr>
        <w:t>项目估值原则上</w:t>
      </w:r>
      <w:r>
        <w:rPr>
          <w:rFonts w:hint="default" w:ascii="Times New Roman" w:hAnsi="Times New Roman" w:cs="Times New Roman"/>
          <w:color w:val="000000"/>
          <w:szCs w:val="32"/>
          <w:highlight w:val="none"/>
          <w:lang w:eastAsia="zh-CN"/>
        </w:rPr>
        <w:t>不高于</w:t>
      </w:r>
      <w:r>
        <w:rPr>
          <w:rFonts w:hint="default" w:ascii="Times New Roman" w:hAnsi="Times New Roman" w:cs="Times New Roman"/>
          <w:color w:val="000000"/>
          <w:szCs w:val="32"/>
          <w:highlight w:val="none"/>
        </w:rPr>
        <w:t>最近一轮市场融资</w:t>
      </w:r>
      <w:r>
        <w:rPr>
          <w:rFonts w:hint="default" w:ascii="Times New Roman" w:hAnsi="Times New Roman" w:cs="Times New Roman"/>
          <w:color w:val="000000"/>
          <w:szCs w:val="32"/>
          <w:highlight w:val="none"/>
          <w:lang w:eastAsia="zh-CN"/>
        </w:rPr>
        <w:t>投后</w:t>
      </w:r>
      <w:r>
        <w:rPr>
          <w:rFonts w:hint="default" w:ascii="Times New Roman" w:hAnsi="Times New Roman" w:cs="Times New Roman"/>
          <w:color w:val="000000"/>
          <w:szCs w:val="32"/>
          <w:highlight w:val="none"/>
        </w:rPr>
        <w:t>估值</w:t>
      </w:r>
      <w:r>
        <w:rPr>
          <w:rFonts w:hint="default" w:ascii="Times New Roman" w:hAnsi="Times New Roman" w:cs="Times New Roman"/>
          <w:color w:val="000000"/>
          <w:szCs w:val="32"/>
          <w:highlight w:val="none"/>
          <w:lang w:eastAsia="zh-CN"/>
        </w:rPr>
        <w:t>。</w:t>
      </w:r>
    </w:p>
    <w:p w14:paraId="17421E30">
      <w:pPr>
        <w:spacing w:line="590" w:lineRule="exact"/>
        <w:ind w:firstLine="616" w:firstLineChars="200"/>
        <w:rPr>
          <w:rFonts w:hint="default" w:ascii="Times New Roman" w:hAnsi="Times New Roman" w:cs="Times New Roman"/>
          <w:color w:val="000000"/>
          <w:szCs w:val="32"/>
          <w:highlight w:val="none"/>
        </w:rPr>
      </w:pPr>
      <w:r>
        <w:rPr>
          <w:rFonts w:hint="default" w:ascii="Times New Roman" w:hAnsi="Times New Roman" w:cs="Times New Roman"/>
          <w:color w:val="000000"/>
          <w:szCs w:val="32"/>
          <w:highlight w:val="none"/>
          <w:lang w:val="en-US" w:eastAsia="zh-CN"/>
        </w:rPr>
        <w:t>3</w:t>
      </w:r>
      <w:r>
        <w:rPr>
          <w:rFonts w:hint="default" w:ascii="Times New Roman" w:hAnsi="Times New Roman" w:cs="Times New Roman"/>
          <w:color w:val="000000"/>
          <w:szCs w:val="32"/>
          <w:highlight w:val="none"/>
        </w:rPr>
        <w:t>.投资后占股原则上不超过企业股权的</w:t>
      </w:r>
      <w:r>
        <w:rPr>
          <w:rFonts w:hint="eastAsia" w:cs="Times New Roman"/>
          <w:color w:val="000000"/>
          <w:szCs w:val="32"/>
          <w:highlight w:val="none"/>
          <w:lang w:val="en-US" w:eastAsia="zh-CN"/>
        </w:rPr>
        <w:t>3</w:t>
      </w:r>
      <w:r>
        <w:rPr>
          <w:rFonts w:hint="default" w:ascii="Times New Roman" w:hAnsi="Times New Roman" w:cs="Times New Roman"/>
          <w:color w:val="000000"/>
          <w:szCs w:val="32"/>
          <w:highlight w:val="none"/>
        </w:rPr>
        <w:t>0%，不成为企业的第一大股东及实际控制人。</w:t>
      </w:r>
    </w:p>
    <w:p w14:paraId="1E0A44C7">
      <w:pPr>
        <w:spacing w:line="590" w:lineRule="exact"/>
        <w:ind w:firstLine="640" w:firstLineChars="200"/>
        <w:rPr>
          <w:rFonts w:hint="eastAsia" w:ascii="黑体" w:hAnsi="黑体" w:eastAsia="黑体" w:cs="Times New Roman"/>
          <w:color w:val="000000"/>
          <w:spacing w:val="0"/>
          <w:kern w:val="0"/>
          <w:szCs w:val="32"/>
          <w:highlight w:val="none"/>
        </w:rPr>
      </w:pPr>
      <w:r>
        <w:rPr>
          <w:rFonts w:hint="eastAsia" w:ascii="黑体" w:hAnsi="黑体" w:eastAsia="黑体" w:cs="Times New Roman"/>
          <w:color w:val="000000"/>
          <w:spacing w:val="0"/>
          <w:kern w:val="0"/>
          <w:szCs w:val="32"/>
          <w:highlight w:val="none"/>
          <w:lang w:eastAsia="zh-CN"/>
        </w:rPr>
        <w:t>四、</w:t>
      </w:r>
      <w:r>
        <w:rPr>
          <w:rFonts w:hint="eastAsia" w:ascii="黑体" w:hAnsi="黑体" w:eastAsia="黑体" w:cs="Times New Roman"/>
          <w:color w:val="000000"/>
          <w:spacing w:val="0"/>
          <w:kern w:val="0"/>
          <w:szCs w:val="32"/>
          <w:highlight w:val="none"/>
        </w:rPr>
        <w:t>风控措施</w:t>
      </w:r>
    </w:p>
    <w:p w14:paraId="48665371">
      <w:pPr>
        <w:spacing w:line="590" w:lineRule="exact"/>
        <w:ind w:firstLine="616" w:firstLineChars="200"/>
        <w:rPr>
          <w:rFonts w:hint="default" w:ascii="Times New Roman" w:hAnsi="Times New Roman" w:cs="Times New Roman"/>
          <w:color w:val="000000"/>
          <w:szCs w:val="32"/>
        </w:rPr>
      </w:pPr>
      <w:r>
        <w:rPr>
          <w:rFonts w:hint="default" w:ascii="Times New Roman" w:hAnsi="Times New Roman" w:cs="Times New Roman"/>
          <w:color w:val="000000"/>
          <w:szCs w:val="32"/>
        </w:rPr>
        <w:t>1.</w:t>
      </w:r>
      <w:r>
        <w:rPr>
          <w:rFonts w:hint="default" w:ascii="Times New Roman" w:hAnsi="Times New Roman" w:cs="Times New Roman"/>
          <w:color w:val="000000"/>
          <w:szCs w:val="32"/>
          <w:lang w:val="en-US" w:eastAsia="zh-CN"/>
        </w:rPr>
        <w:t>本轮融资</w:t>
      </w:r>
      <w:r>
        <w:rPr>
          <w:rFonts w:hint="default" w:ascii="Times New Roman" w:hAnsi="Times New Roman" w:cs="Times New Roman"/>
          <w:color w:val="000000"/>
          <w:szCs w:val="32"/>
        </w:rPr>
        <w:t>有</w:t>
      </w:r>
      <w:r>
        <w:rPr>
          <w:rFonts w:hint="default" w:ascii="Times New Roman" w:hAnsi="Times New Roman" w:cs="Times New Roman"/>
          <w:color w:val="000000"/>
          <w:szCs w:val="32"/>
          <w:lang w:val="en-US" w:eastAsia="zh-CN"/>
        </w:rPr>
        <w:t>社会资本参与的</w:t>
      </w:r>
      <w:r>
        <w:rPr>
          <w:rFonts w:hint="default" w:ascii="Times New Roman" w:hAnsi="Times New Roman" w:cs="Times New Roman"/>
          <w:color w:val="000000"/>
          <w:szCs w:val="32"/>
        </w:rPr>
        <w:t>的，应当签订</w:t>
      </w:r>
      <w:r>
        <w:rPr>
          <w:rFonts w:hint="default" w:ascii="Times New Roman" w:hAnsi="Times New Roman" w:cs="Times New Roman"/>
          <w:color w:val="000000"/>
          <w:szCs w:val="32"/>
          <w:lang w:val="en-US" w:eastAsia="zh-CN"/>
        </w:rPr>
        <w:t>不劣于</w:t>
      </w:r>
      <w:r>
        <w:rPr>
          <w:rFonts w:hint="default" w:ascii="Times New Roman" w:hAnsi="Times New Roman" w:cs="Times New Roman"/>
          <w:color w:val="000000"/>
          <w:szCs w:val="32"/>
        </w:rPr>
        <w:t>外部投资机构的风控条款。</w:t>
      </w:r>
    </w:p>
    <w:p w14:paraId="7EECF403">
      <w:pPr>
        <w:spacing w:line="590" w:lineRule="exact"/>
        <w:ind w:firstLine="616" w:firstLineChars="200"/>
        <w:rPr>
          <w:rFonts w:hint="default" w:ascii="Times New Roman" w:hAnsi="Times New Roman" w:cs="Times New Roman"/>
          <w:color w:val="000000"/>
          <w:szCs w:val="32"/>
        </w:rPr>
      </w:pPr>
      <w:r>
        <w:rPr>
          <w:rFonts w:hint="default" w:ascii="Times New Roman" w:hAnsi="Times New Roman" w:cs="Times New Roman"/>
          <w:color w:val="000000"/>
          <w:szCs w:val="32"/>
        </w:rPr>
        <w:t>2.</w:t>
      </w:r>
      <w:r>
        <w:rPr>
          <w:rFonts w:hint="default" w:ascii="Times New Roman" w:hAnsi="Times New Roman" w:cs="Times New Roman"/>
          <w:color w:val="000000"/>
          <w:szCs w:val="32"/>
          <w:lang w:val="en-US" w:eastAsia="zh-CN"/>
        </w:rPr>
        <w:t>本轮融资无社会资本参与</w:t>
      </w:r>
      <w:r>
        <w:rPr>
          <w:rFonts w:hint="default" w:ascii="Times New Roman" w:hAnsi="Times New Roman" w:cs="Times New Roman"/>
          <w:color w:val="000000"/>
          <w:szCs w:val="32"/>
        </w:rPr>
        <w:t>的，由基金管理人提出风控建议</w:t>
      </w:r>
      <w:r>
        <w:rPr>
          <w:rFonts w:hint="default" w:ascii="Times New Roman" w:hAnsi="Times New Roman" w:cs="Times New Roman"/>
        </w:rPr>
        <w:t>并履行相关审批程序</w:t>
      </w:r>
      <w:r>
        <w:rPr>
          <w:rFonts w:hint="default" w:ascii="Times New Roman" w:hAnsi="Times New Roman" w:cs="Times New Roman"/>
          <w:color w:val="000000"/>
          <w:szCs w:val="32"/>
        </w:rPr>
        <w:t>。</w:t>
      </w:r>
    </w:p>
    <w:p w14:paraId="7F20538C">
      <w:pPr>
        <w:spacing w:line="590" w:lineRule="exact"/>
        <w:ind w:firstLine="640" w:firstLineChars="200"/>
        <w:rPr>
          <w:rFonts w:hint="eastAsia" w:ascii="黑体" w:hAnsi="黑体" w:eastAsia="黑体" w:cs="Times New Roman"/>
          <w:color w:val="000000"/>
          <w:spacing w:val="0"/>
          <w:kern w:val="0"/>
          <w:szCs w:val="32"/>
          <w:highlight w:val="none"/>
        </w:rPr>
      </w:pPr>
      <w:r>
        <w:rPr>
          <w:rFonts w:hint="eastAsia" w:ascii="黑体" w:hAnsi="黑体" w:eastAsia="黑体" w:cs="Times New Roman"/>
          <w:color w:val="000000"/>
          <w:spacing w:val="0"/>
          <w:kern w:val="0"/>
          <w:szCs w:val="32"/>
          <w:highlight w:val="none"/>
          <w:lang w:eastAsia="zh-CN"/>
        </w:rPr>
        <w:t>五、</w:t>
      </w:r>
      <w:r>
        <w:rPr>
          <w:rFonts w:hint="eastAsia" w:ascii="黑体" w:hAnsi="黑体" w:eastAsia="黑体" w:cs="Times New Roman"/>
          <w:color w:val="000000"/>
          <w:spacing w:val="0"/>
          <w:kern w:val="0"/>
          <w:szCs w:val="32"/>
          <w:highlight w:val="none"/>
        </w:rPr>
        <w:t>投资管理程序</w:t>
      </w:r>
    </w:p>
    <w:p w14:paraId="3E7D9A63">
      <w:pPr>
        <w:snapToGrid w:val="0"/>
        <w:spacing w:line="590" w:lineRule="exact"/>
        <w:ind w:firstLine="616" w:firstLineChars="200"/>
        <w:rPr>
          <w:rFonts w:hint="default" w:ascii="Times New Roman" w:hAnsi="Times New Roman" w:cs="Times New Roman"/>
          <w:color w:val="000000"/>
        </w:rPr>
      </w:pPr>
      <w:r>
        <w:rPr>
          <w:rFonts w:hint="default" w:ascii="Times New Roman" w:hAnsi="Times New Roman" w:cs="Times New Roman"/>
          <w:b/>
          <w:bCs/>
          <w:color w:val="000000"/>
        </w:rPr>
        <w:t>1.项目征集及立项。</w:t>
      </w:r>
      <w:r>
        <w:rPr>
          <w:rFonts w:hint="default" w:ascii="Times New Roman" w:hAnsi="Times New Roman" w:cs="Times New Roman"/>
          <w:color w:val="000000"/>
        </w:rPr>
        <w:t>投资项目采取市场化征集与</w:t>
      </w:r>
      <w:r>
        <w:rPr>
          <w:rFonts w:hint="default" w:ascii="Times New Roman" w:hAnsi="Times New Roman" w:cs="Times New Roman"/>
          <w:szCs w:val="32"/>
        </w:rPr>
        <w:t>部门</w:t>
      </w:r>
      <w:r>
        <w:rPr>
          <w:rFonts w:hint="default" w:ascii="Times New Roman" w:hAnsi="Times New Roman" w:cs="Times New Roman"/>
          <w:color w:val="000000"/>
        </w:rPr>
        <w:t>推荐相结合的方式。</w:t>
      </w:r>
    </w:p>
    <w:p w14:paraId="1B8C9307">
      <w:pPr>
        <w:snapToGrid w:val="0"/>
        <w:spacing w:line="590" w:lineRule="exact"/>
        <w:ind w:firstLine="616" w:firstLineChars="200"/>
        <w:rPr>
          <w:rFonts w:hint="default" w:ascii="Times New Roman" w:hAnsi="Times New Roman" w:cs="Times New Roman"/>
          <w:color w:val="000000"/>
          <w:highlight w:val="none"/>
        </w:rPr>
      </w:pPr>
      <w:r>
        <w:rPr>
          <w:rFonts w:hint="default" w:ascii="Times New Roman" w:hAnsi="Times New Roman" w:cs="Times New Roman"/>
          <w:b/>
          <w:bCs/>
          <w:color w:val="000000"/>
        </w:rPr>
        <w:t>征集项目</w:t>
      </w:r>
      <w:r>
        <w:rPr>
          <w:rFonts w:hint="eastAsia" w:cs="Times New Roman"/>
          <w:b/>
          <w:bCs/>
          <w:color w:val="000000"/>
          <w:lang w:eastAsia="zh-CN"/>
        </w:rPr>
        <w:t>：</w:t>
      </w:r>
      <w:r>
        <w:rPr>
          <w:rFonts w:hint="default" w:ascii="Times New Roman" w:hAnsi="Times New Roman" w:cs="Times New Roman"/>
          <w:color w:val="000000"/>
        </w:rPr>
        <w:t>由</w:t>
      </w:r>
      <w:r>
        <w:rPr>
          <w:rFonts w:hint="eastAsia" w:ascii="Times New Roman" w:hAnsi="Times New Roman" w:cs="Times New Roman"/>
          <w:color w:val="000000"/>
          <w:lang w:eastAsia="zh-CN"/>
        </w:rPr>
        <w:t>区国投集团</w:t>
      </w:r>
      <w:r>
        <w:rPr>
          <w:rFonts w:hint="default" w:ascii="Times New Roman" w:hAnsi="Times New Roman" w:cs="Times New Roman"/>
          <w:color w:val="000000"/>
        </w:rPr>
        <w:t>定期牵头组织公开</w:t>
      </w:r>
      <w:r>
        <w:rPr>
          <w:rFonts w:hint="default" w:ascii="Times New Roman" w:hAnsi="Times New Roman" w:cs="Times New Roman"/>
          <w:b w:val="0"/>
          <w:bCs w:val="0"/>
          <w:color w:val="000000"/>
        </w:rPr>
        <w:t>市场化</w:t>
      </w:r>
      <w:r>
        <w:rPr>
          <w:rFonts w:hint="default" w:ascii="Times New Roman" w:hAnsi="Times New Roman" w:cs="Times New Roman"/>
          <w:color w:val="000000"/>
        </w:rPr>
        <w:t>征集</w:t>
      </w:r>
      <w:r>
        <w:rPr>
          <w:rFonts w:hint="default" w:ascii="Times New Roman" w:hAnsi="Times New Roman" w:cs="Times New Roman"/>
          <w:color w:val="000000"/>
          <w:highlight w:val="none"/>
        </w:rPr>
        <w:t>工作。</w:t>
      </w:r>
    </w:p>
    <w:p w14:paraId="0599290D">
      <w:pPr>
        <w:snapToGrid w:val="0"/>
        <w:spacing w:line="590" w:lineRule="exact"/>
        <w:ind w:firstLine="616" w:firstLineChars="200"/>
        <w:rPr>
          <w:rFonts w:hint="eastAsia" w:ascii="Times New Roman" w:hAnsi="Times New Roman" w:cs="Times New Roman"/>
          <w:sz w:val="32"/>
          <w:szCs w:val="32"/>
          <w:lang w:val="en-US" w:eastAsia="zh-CN"/>
        </w:rPr>
      </w:pPr>
      <w:r>
        <w:rPr>
          <w:rFonts w:hint="default" w:ascii="Times New Roman" w:hAnsi="Times New Roman" w:cs="Times New Roman"/>
          <w:b/>
          <w:bCs/>
          <w:color w:val="000000"/>
          <w:highlight w:val="none"/>
        </w:rPr>
        <w:t>推荐项目</w:t>
      </w:r>
      <w:r>
        <w:rPr>
          <w:rFonts w:hint="eastAsia" w:cs="Times New Roman"/>
          <w:b/>
          <w:bCs/>
          <w:color w:val="000000"/>
          <w:highlight w:val="none"/>
          <w:lang w:eastAsia="zh-CN"/>
        </w:rPr>
        <w:t>：</w:t>
      </w:r>
      <w:r>
        <w:rPr>
          <w:rFonts w:hint="default" w:ascii="Times New Roman" w:hAnsi="Times New Roman" w:eastAsia="仿宋_GB2312" w:cs="Times New Roman"/>
          <w:sz w:val="32"/>
          <w:szCs w:val="32"/>
          <w:lang w:val="en-US" w:eastAsia="zh-CN"/>
        </w:rPr>
        <w:t>由项目拟落地产业平台</w:t>
      </w:r>
      <w:r>
        <w:rPr>
          <w:rFonts w:hint="default" w:ascii="Times New Roman" w:hAnsi="Times New Roman" w:cs="Times New Roman"/>
          <w:sz w:val="32"/>
          <w:szCs w:val="32"/>
          <w:lang w:eastAsia="zh-CN"/>
        </w:rPr>
        <w:t>或</w:t>
      </w:r>
      <w:r>
        <w:rPr>
          <w:rFonts w:hint="eastAsia" w:ascii="Times New Roman" w:hAnsi="Times New Roman" w:cs="Times New Roman"/>
          <w:sz w:val="32"/>
          <w:szCs w:val="32"/>
          <w:lang w:val="en-US" w:eastAsia="zh-CN"/>
        </w:rPr>
        <w:t>区产业基金管理工作联席会议成员</w:t>
      </w:r>
      <w:r>
        <w:rPr>
          <w:rFonts w:hint="default" w:ascii="Times New Roman" w:hAnsi="Times New Roman" w:eastAsia="仿宋_GB2312" w:cs="Times New Roman"/>
          <w:sz w:val="32"/>
          <w:szCs w:val="32"/>
          <w:lang w:val="en-US" w:eastAsia="zh-CN"/>
        </w:rPr>
        <w:t>单位</w:t>
      </w:r>
      <w:r>
        <w:rPr>
          <w:rFonts w:hint="eastAsia" w:ascii="Times New Roman" w:hAnsi="Times New Roman" w:cs="Times New Roman"/>
          <w:sz w:val="32"/>
          <w:szCs w:val="32"/>
          <w:lang w:val="en-US" w:eastAsia="zh-CN"/>
        </w:rPr>
        <w:t>提交立项申请</w:t>
      </w:r>
      <w:r>
        <w:rPr>
          <w:rFonts w:hint="eastAsia" w:ascii="Times New Roman" w:hAnsi="Times New Roman" w:cs="Times New Roman"/>
          <w:sz w:val="32"/>
          <w:szCs w:val="32"/>
          <w:lang w:eastAsia="zh-CN"/>
        </w:rPr>
        <w:t>；</w:t>
      </w:r>
      <w:r>
        <w:rPr>
          <w:rFonts w:hint="default" w:ascii="Times New Roman" w:hAnsi="Times New Roman" w:cs="Times New Roman"/>
          <w:sz w:val="32"/>
          <w:szCs w:val="32"/>
          <w:lang w:eastAsia="zh-CN"/>
        </w:rPr>
        <w:t>各</w:t>
      </w:r>
      <w:r>
        <w:rPr>
          <w:rFonts w:hint="eastAsia" w:ascii="Times New Roman" w:hAnsi="Times New Roman" w:cs="Times New Roman"/>
          <w:sz w:val="32"/>
          <w:szCs w:val="32"/>
          <w:lang w:val="en-US" w:eastAsia="zh-CN"/>
        </w:rPr>
        <w:t>镇街</w:t>
      </w:r>
      <w:r>
        <w:rPr>
          <w:rFonts w:hint="default" w:ascii="Times New Roman" w:hAnsi="Times New Roman" w:cs="Times New Roman"/>
          <w:sz w:val="32"/>
          <w:szCs w:val="32"/>
          <w:lang w:eastAsia="zh-CN"/>
        </w:rPr>
        <w:t>可向</w:t>
      </w:r>
      <w:r>
        <w:rPr>
          <w:rFonts w:hint="eastAsia" w:ascii="Times New Roman" w:hAnsi="Times New Roman" w:cs="Times New Roman"/>
          <w:sz w:val="32"/>
          <w:szCs w:val="32"/>
          <w:lang w:val="en-US" w:eastAsia="zh-CN"/>
        </w:rPr>
        <w:t>区商务局</w:t>
      </w:r>
      <w:r>
        <w:rPr>
          <w:rFonts w:hint="default" w:ascii="Times New Roman" w:hAnsi="Times New Roman" w:cs="Times New Roman"/>
          <w:sz w:val="32"/>
          <w:szCs w:val="32"/>
          <w:lang w:eastAsia="zh-CN"/>
        </w:rPr>
        <w:t>推荐项目由其</w:t>
      </w:r>
      <w:r>
        <w:rPr>
          <w:rFonts w:hint="eastAsia" w:ascii="Times New Roman" w:hAnsi="Times New Roman" w:cs="Times New Roman"/>
          <w:sz w:val="32"/>
          <w:szCs w:val="32"/>
          <w:lang w:val="en-US" w:eastAsia="zh-CN"/>
        </w:rPr>
        <w:t>初审后提交立项申请。</w:t>
      </w:r>
    </w:p>
    <w:p w14:paraId="3043A946">
      <w:pPr>
        <w:snapToGrid w:val="0"/>
        <w:spacing w:line="590" w:lineRule="exact"/>
        <w:ind w:firstLine="616" w:firstLineChars="200"/>
        <w:rPr>
          <w:rFonts w:hint="default" w:ascii="Times New Roman" w:hAnsi="Times New Roman" w:cs="Times New Roman"/>
          <w:color w:val="000000"/>
          <w:highlight w:val="none"/>
        </w:rPr>
      </w:pPr>
      <w:r>
        <w:rPr>
          <w:rFonts w:hint="default" w:ascii="Times New Roman" w:hAnsi="Times New Roman" w:eastAsia="仿宋_GB2312" w:cs="Times New Roman"/>
          <w:sz w:val="32"/>
          <w:szCs w:val="32"/>
          <w:highlight w:val="none"/>
          <w:lang w:eastAsia="zh-CN"/>
        </w:rPr>
        <w:t>根据区产业基金管理工作联席会议成员部门建议，按需邀请外部专家进行评审。</w:t>
      </w:r>
    </w:p>
    <w:p w14:paraId="0740EE17">
      <w:pPr>
        <w:snapToGrid w:val="0"/>
        <w:spacing w:line="590" w:lineRule="exact"/>
        <w:ind w:firstLine="616" w:firstLineChars="200"/>
        <w:rPr>
          <w:rFonts w:hint="default" w:ascii="Times New Roman" w:hAnsi="Times New Roman" w:cs="Times New Roman"/>
          <w:color w:val="000000"/>
          <w:highlight w:val="none"/>
        </w:rPr>
      </w:pPr>
      <w:r>
        <w:rPr>
          <w:rFonts w:hint="default" w:ascii="Times New Roman" w:hAnsi="Times New Roman" w:cs="Times New Roman"/>
          <w:color w:val="000000"/>
          <w:highlight w:val="none"/>
        </w:rPr>
        <w:t>报</w:t>
      </w:r>
      <w:r>
        <w:rPr>
          <w:rFonts w:hint="eastAsia" w:ascii="Times New Roman" w:hAnsi="Times New Roman" w:cs="Times New Roman"/>
          <w:color w:val="000000"/>
          <w:highlight w:val="none"/>
          <w:lang w:eastAsia="zh-CN"/>
        </w:rPr>
        <w:t>区国投集团</w:t>
      </w:r>
      <w:r>
        <w:rPr>
          <w:rFonts w:hint="default" w:ascii="Times New Roman" w:hAnsi="Times New Roman" w:cs="Times New Roman"/>
          <w:color w:val="000000"/>
          <w:highlight w:val="none"/>
        </w:rPr>
        <w:t>立项需提交以下材料：</w:t>
      </w:r>
    </w:p>
    <w:p w14:paraId="232121BF">
      <w:pPr>
        <w:snapToGrid w:val="0"/>
        <w:spacing w:line="590" w:lineRule="exact"/>
        <w:ind w:firstLine="616" w:firstLineChars="200"/>
        <w:rPr>
          <w:rFonts w:hint="default" w:ascii="Times New Roman" w:hAnsi="Times New Roman" w:cs="Times New Roman"/>
          <w:color w:val="000000"/>
        </w:rPr>
      </w:pPr>
      <w:r>
        <w:rPr>
          <w:rFonts w:hint="default" w:ascii="Times New Roman" w:hAnsi="Times New Roman" w:cs="Times New Roman"/>
          <w:color w:val="000000"/>
        </w:rPr>
        <w:t>（1）立项申请表（附表1）；</w:t>
      </w:r>
    </w:p>
    <w:p w14:paraId="129B83D4">
      <w:pPr>
        <w:snapToGrid w:val="0"/>
        <w:spacing w:line="590" w:lineRule="exact"/>
        <w:ind w:firstLine="616" w:firstLineChars="200"/>
        <w:rPr>
          <w:rFonts w:hint="default" w:ascii="Times New Roman" w:hAnsi="Times New Roman" w:cs="Times New Roman"/>
          <w:color w:val="000000"/>
        </w:rPr>
      </w:pPr>
      <w:r>
        <w:rPr>
          <w:rFonts w:hint="default" w:ascii="Times New Roman" w:hAnsi="Times New Roman" w:cs="Times New Roman"/>
          <w:color w:val="000000"/>
        </w:rPr>
        <w:t>（2）企业商业计划书；</w:t>
      </w:r>
    </w:p>
    <w:p w14:paraId="1AB18F99">
      <w:pPr>
        <w:snapToGrid w:val="0"/>
        <w:spacing w:line="590" w:lineRule="exact"/>
        <w:ind w:firstLine="616" w:firstLineChars="200"/>
        <w:rPr>
          <w:rFonts w:hint="default" w:ascii="Times New Roman" w:hAnsi="Times New Roman" w:cs="Times New Roman"/>
          <w:color w:val="000000"/>
        </w:rPr>
      </w:pPr>
      <w:r>
        <w:rPr>
          <w:rFonts w:hint="default" w:ascii="Times New Roman" w:hAnsi="Times New Roman" w:cs="Times New Roman"/>
          <w:color w:val="000000"/>
        </w:rPr>
        <w:t>（3）其他必要材料。</w:t>
      </w:r>
    </w:p>
    <w:p w14:paraId="1BC07B79">
      <w:pPr>
        <w:snapToGrid w:val="0"/>
        <w:spacing w:line="590" w:lineRule="exact"/>
        <w:ind w:firstLine="616" w:firstLineChars="200"/>
        <w:rPr>
          <w:rFonts w:hint="default" w:ascii="Times New Roman" w:hAnsi="Times New Roman" w:eastAsia="仿宋_GB2312" w:cs="Times New Roman"/>
          <w:color w:val="000000"/>
          <w:highlight w:val="none"/>
        </w:rPr>
      </w:pPr>
      <w:r>
        <w:rPr>
          <w:rFonts w:hint="default" w:ascii="Times New Roman" w:hAnsi="Times New Roman" w:eastAsia="仿宋_GB2312" w:cs="Times New Roman"/>
          <w:b/>
          <w:bCs/>
          <w:color w:val="000000"/>
          <w:highlight w:val="none"/>
        </w:rPr>
        <w:t>2.项目尽调。</w:t>
      </w:r>
      <w:r>
        <w:rPr>
          <w:rFonts w:hint="eastAsia" w:ascii="Times New Roman" w:hAnsi="Times New Roman" w:cs="Times New Roman"/>
          <w:color w:val="000000"/>
          <w:highlight w:val="none"/>
          <w:lang w:eastAsia="zh-CN"/>
        </w:rPr>
        <w:t>区财政局（国资办）</w:t>
      </w:r>
      <w:r>
        <w:rPr>
          <w:rFonts w:hint="default" w:ascii="Times New Roman" w:hAnsi="Times New Roman" w:eastAsia="仿宋_GB2312" w:cs="Times New Roman"/>
          <w:color w:val="000000"/>
          <w:highlight w:val="none"/>
        </w:rPr>
        <w:t>初审通过后，基金管理人根据立项申请表开展项目尽调、入股谈判等前期工作。</w:t>
      </w:r>
      <w:r>
        <w:rPr>
          <w:rFonts w:hint="default" w:ascii="Times New Roman" w:hAnsi="Times New Roman" w:eastAsia="仿宋_GB2312" w:cs="Times New Roman"/>
          <w:color w:val="000000"/>
        </w:rPr>
        <w:t>其中各产业平台推荐的项目产生的相关尽调费用由各产业平台承担；</w:t>
      </w:r>
      <w:r>
        <w:rPr>
          <w:rFonts w:hint="default" w:ascii="Times New Roman" w:hAnsi="Times New Roman" w:eastAsia="仿宋_GB2312" w:cs="Times New Roman"/>
          <w:szCs w:val="32"/>
        </w:rPr>
        <w:t>区</w:t>
      </w:r>
      <w:r>
        <w:rPr>
          <w:rFonts w:hint="eastAsia" w:ascii="Times New Roman" w:hAnsi="Times New Roman" w:cs="Times New Roman"/>
          <w:szCs w:val="32"/>
          <w:lang w:eastAsia="zh-CN"/>
        </w:rPr>
        <w:t>产业基金管理工作联席会议成员单位</w:t>
      </w:r>
      <w:r>
        <w:rPr>
          <w:rFonts w:hint="default" w:ascii="Times New Roman" w:hAnsi="Times New Roman" w:eastAsia="仿宋_GB2312" w:cs="Times New Roman"/>
          <w:color w:val="000000"/>
        </w:rPr>
        <w:t>推荐的项目产生的相关尽调费用由</w:t>
      </w:r>
      <w:r>
        <w:rPr>
          <w:rFonts w:hint="eastAsia" w:ascii="Times New Roman" w:hAnsi="Times New Roman" w:cs="Times New Roman"/>
          <w:color w:val="000000"/>
          <w:lang w:eastAsia="zh-CN"/>
        </w:rPr>
        <w:t>政府投资基金</w:t>
      </w:r>
      <w:r>
        <w:rPr>
          <w:rFonts w:hint="default" w:ascii="Times New Roman" w:hAnsi="Times New Roman" w:eastAsia="仿宋_GB2312" w:cs="Times New Roman"/>
          <w:color w:val="000000"/>
        </w:rPr>
        <w:t>列支。</w:t>
      </w:r>
    </w:p>
    <w:p w14:paraId="3092A06B">
      <w:pPr>
        <w:snapToGrid w:val="0"/>
        <w:spacing w:line="590" w:lineRule="exact"/>
        <w:ind w:firstLine="604"/>
        <w:rPr>
          <w:rFonts w:hint="default" w:ascii="Times New Roman" w:hAnsi="Times New Roman" w:eastAsia="仿宋_GB2312" w:cs="Times New Roman"/>
          <w:color w:val="000000"/>
        </w:rPr>
      </w:pPr>
      <w:r>
        <w:rPr>
          <w:rFonts w:hint="default" w:ascii="Times New Roman" w:hAnsi="Times New Roman" w:eastAsia="仿宋_GB2312" w:cs="Times New Roman"/>
          <w:b/>
          <w:bCs/>
          <w:color w:val="000000"/>
        </w:rPr>
        <w:t>3.项目表决。</w:t>
      </w:r>
      <w:r>
        <w:rPr>
          <w:rFonts w:hint="default" w:ascii="Times New Roman" w:hAnsi="Times New Roman" w:eastAsia="仿宋_GB2312" w:cs="Times New Roman"/>
          <w:color w:val="000000"/>
        </w:rPr>
        <w:t>基金管理人</w:t>
      </w:r>
      <w:r>
        <w:rPr>
          <w:rFonts w:hint="default" w:ascii="Times New Roman" w:hAnsi="Times New Roman" w:eastAsia="仿宋_GB2312" w:cs="Times New Roman"/>
          <w:bCs/>
          <w:color w:val="000000"/>
          <w:szCs w:val="32"/>
        </w:rPr>
        <w:t>将通过尽调的项目提交至</w:t>
      </w:r>
      <w:r>
        <w:rPr>
          <w:rFonts w:hint="eastAsia" w:ascii="Times New Roman" w:hAnsi="Times New Roman" w:cs="Times New Roman"/>
          <w:bCs/>
          <w:color w:val="000000"/>
          <w:szCs w:val="32"/>
          <w:lang w:val="en-US" w:eastAsia="zh-CN"/>
        </w:rPr>
        <w:t>区国投集团</w:t>
      </w:r>
      <w:r>
        <w:rPr>
          <w:rFonts w:hint="default" w:ascii="Times New Roman" w:hAnsi="Times New Roman" w:eastAsia="仿宋_GB2312" w:cs="Times New Roman"/>
          <w:bCs/>
          <w:color w:val="000000"/>
          <w:szCs w:val="32"/>
        </w:rPr>
        <w:t>投决会，对拟投资项目的投资金额、投资估值等核心要素做出明确决议。</w:t>
      </w:r>
      <w:r>
        <w:rPr>
          <w:rFonts w:hint="default" w:ascii="Times New Roman" w:hAnsi="Times New Roman" w:eastAsia="仿宋_GB2312" w:cs="Times New Roman"/>
          <w:color w:val="000000"/>
        </w:rPr>
        <w:t>决策同意后上报</w:t>
      </w:r>
      <w:r>
        <w:rPr>
          <w:rFonts w:hint="default" w:ascii="Times New Roman" w:hAnsi="Times New Roman" w:eastAsia="仿宋_GB2312" w:cs="Times New Roman"/>
          <w:color w:val="000000"/>
          <w:sz w:val="32"/>
          <w:szCs w:val="32"/>
        </w:rPr>
        <w:t>区</w:t>
      </w:r>
      <w:r>
        <w:rPr>
          <w:rFonts w:hint="eastAsia" w:cs="Times New Roman"/>
          <w:color w:val="000000"/>
          <w:sz w:val="32"/>
          <w:szCs w:val="32"/>
          <w:lang w:eastAsia="zh-CN"/>
        </w:rPr>
        <w:t>财政局（国资办）</w:t>
      </w:r>
      <w:r>
        <w:rPr>
          <w:rFonts w:hint="default" w:ascii="Times New Roman" w:hAnsi="Times New Roman" w:eastAsia="仿宋_GB2312" w:cs="Times New Roman"/>
          <w:color w:val="000000"/>
        </w:rPr>
        <w:t>。</w:t>
      </w:r>
    </w:p>
    <w:p w14:paraId="5A402FD1">
      <w:pPr>
        <w:spacing w:line="590" w:lineRule="exact"/>
        <w:ind w:firstLine="616" w:firstLineChars="200"/>
        <w:rPr>
          <w:rFonts w:hint="default" w:ascii="Times New Roman" w:hAnsi="Times New Roman" w:eastAsia="仿宋_GB2312" w:cs="Times New Roman"/>
          <w:bCs/>
          <w:color w:val="000000"/>
          <w:szCs w:val="32"/>
        </w:rPr>
      </w:pPr>
      <w:r>
        <w:rPr>
          <w:rFonts w:hint="default" w:ascii="Times New Roman" w:hAnsi="Times New Roman" w:eastAsia="仿宋_GB2312" w:cs="Times New Roman"/>
          <w:b/>
          <w:bCs/>
          <w:color w:val="000000"/>
        </w:rPr>
        <w:t>5.项目审批。</w:t>
      </w:r>
      <w:r>
        <w:rPr>
          <w:rFonts w:hint="eastAsia" w:ascii="Times New Roman" w:hAnsi="Times New Roman" w:cs="Times New Roman"/>
          <w:bCs/>
          <w:color w:val="000000"/>
          <w:szCs w:val="32"/>
          <w:lang w:eastAsia="zh-CN"/>
        </w:rPr>
        <w:t>区财政局（国资办）</w:t>
      </w:r>
      <w:r>
        <w:rPr>
          <w:rFonts w:hint="default" w:ascii="Times New Roman" w:hAnsi="Times New Roman" w:eastAsia="仿宋_GB2312" w:cs="Times New Roman"/>
          <w:bCs/>
          <w:color w:val="000000"/>
          <w:szCs w:val="32"/>
        </w:rPr>
        <w:t>牵头召开联席会议，审议拟投资的项目，根据</w:t>
      </w:r>
      <w:r>
        <w:rPr>
          <w:rFonts w:hint="default" w:ascii="Times New Roman" w:hAnsi="Times New Roman" w:eastAsia="仿宋_GB2312" w:cs="Times New Roman"/>
          <w:color w:val="000000"/>
          <w:szCs w:val="32"/>
        </w:rPr>
        <w:t>《余杭区区级政府投资基金管理办法》</w:t>
      </w:r>
      <w:r>
        <w:rPr>
          <w:rFonts w:hint="default" w:ascii="Times New Roman" w:hAnsi="Times New Roman" w:eastAsia="仿宋_GB2312" w:cs="Times New Roman"/>
          <w:bCs/>
          <w:color w:val="000000"/>
          <w:szCs w:val="32"/>
        </w:rPr>
        <w:t>进行分级审批。</w:t>
      </w:r>
    </w:p>
    <w:p w14:paraId="4A791D3E">
      <w:pPr>
        <w:snapToGrid w:val="0"/>
        <w:spacing w:line="590" w:lineRule="exact"/>
        <w:ind w:firstLine="616" w:firstLineChars="200"/>
        <w:rPr>
          <w:rFonts w:hint="default" w:ascii="Times New Roman" w:hAnsi="Times New Roman" w:eastAsia="仿宋_GB2312" w:cs="Times New Roman"/>
          <w:color w:val="000000"/>
        </w:rPr>
      </w:pPr>
      <w:r>
        <w:rPr>
          <w:rFonts w:hint="default" w:ascii="Times New Roman" w:hAnsi="Times New Roman" w:eastAsia="仿宋_GB2312" w:cs="Times New Roman"/>
          <w:b/>
          <w:bCs/>
          <w:color w:val="000000"/>
        </w:rPr>
        <w:t>6.项目实施。</w:t>
      </w:r>
      <w:r>
        <w:rPr>
          <w:rFonts w:hint="default" w:ascii="Times New Roman" w:hAnsi="Times New Roman" w:eastAsia="仿宋_GB2312" w:cs="Times New Roman"/>
          <w:color w:val="000000"/>
        </w:rPr>
        <w:t>决策审批通过后，由基金管理人拟定章程或投资协议等法律文书，并在基金公司正式签署后实施具体投资运作。</w:t>
      </w:r>
    </w:p>
    <w:p w14:paraId="6BC951F2">
      <w:pPr>
        <w:spacing w:line="590" w:lineRule="exact"/>
        <w:ind w:firstLine="616" w:firstLineChars="200"/>
        <w:rPr>
          <w:rFonts w:hint="default" w:ascii="Times New Roman" w:hAnsi="Times New Roman" w:eastAsia="仿宋_GB2312" w:cs="Times New Roman"/>
          <w:color w:val="000000"/>
        </w:rPr>
      </w:pPr>
      <w:r>
        <w:rPr>
          <w:rFonts w:hint="default" w:ascii="Times New Roman" w:hAnsi="Times New Roman" w:eastAsia="仿宋_GB2312" w:cs="Times New Roman"/>
          <w:b/>
          <w:bCs/>
          <w:color w:val="000000"/>
        </w:rPr>
        <w:t>7.投后管理。</w:t>
      </w:r>
      <w:r>
        <w:rPr>
          <w:rFonts w:hint="default" w:ascii="Times New Roman" w:hAnsi="Times New Roman" w:eastAsia="仿宋_GB2312" w:cs="Times New Roman"/>
          <w:color w:val="000000"/>
        </w:rPr>
        <w:t>基金管理人应定时追踪项目的经营状况、行业发展情况等，开展投后管理工作。</w:t>
      </w:r>
    </w:p>
    <w:p w14:paraId="3D1DD40F">
      <w:pPr>
        <w:spacing w:line="590" w:lineRule="exact"/>
        <w:ind w:firstLine="640" w:firstLineChars="200"/>
        <w:rPr>
          <w:rFonts w:ascii="仿宋_GB2312" w:cs="Times New Roman"/>
          <w:color w:val="000000"/>
        </w:rPr>
      </w:pPr>
      <w:r>
        <w:rPr>
          <w:rFonts w:hint="default" w:ascii="Times New Roman" w:hAnsi="Times New Roman" w:eastAsia="仿宋_GB2312" w:cs="Times New Roman"/>
          <w:b/>
          <w:bCs/>
          <w:color w:val="000000"/>
          <w:spacing w:val="0"/>
          <w:kern w:val="0"/>
          <w:szCs w:val="32"/>
        </w:rPr>
        <w:t>8.项目退出。</w:t>
      </w:r>
      <w:r>
        <w:rPr>
          <w:rFonts w:hint="default" w:ascii="Times New Roman" w:hAnsi="Times New Roman" w:eastAsia="仿宋_GB2312" w:cs="Times New Roman"/>
          <w:color w:val="000000"/>
          <w:spacing w:val="0"/>
          <w:kern w:val="0"/>
          <w:szCs w:val="32"/>
        </w:rPr>
        <w:t>投资项目按章程或协议约定的条件、方式办理退出手续，章程或协议未约定的，原则上应当在依法设立的产权交易机构中采取公开挂牌方式办理退出，并事先应聘请具备资质的中介机构对出资权益进行评估，作为确定政府</w:t>
      </w:r>
      <w:r>
        <w:rPr>
          <w:rFonts w:hint="eastAsia" w:ascii="Times New Roman" w:hAnsi="Times New Roman" w:cs="Times New Roman"/>
          <w:color w:val="000000"/>
          <w:spacing w:val="0"/>
          <w:kern w:val="0"/>
          <w:szCs w:val="32"/>
          <w:lang w:eastAsia="zh-CN"/>
        </w:rPr>
        <w:t>投资基金</w:t>
      </w:r>
      <w:r>
        <w:rPr>
          <w:rFonts w:hint="default" w:ascii="Times New Roman" w:hAnsi="Times New Roman" w:eastAsia="仿宋_GB2312" w:cs="Times New Roman"/>
          <w:color w:val="000000"/>
          <w:spacing w:val="0"/>
          <w:kern w:val="0"/>
          <w:szCs w:val="32"/>
        </w:rPr>
        <w:t>退出价格的重要参考依据。</w:t>
      </w:r>
    </w:p>
    <w:p w14:paraId="5016A220">
      <w:pPr>
        <w:spacing w:line="590" w:lineRule="exact"/>
        <w:ind w:firstLine="640" w:firstLineChars="200"/>
        <w:rPr>
          <w:rFonts w:hint="eastAsia" w:ascii="黑体" w:hAnsi="黑体" w:eastAsia="黑体" w:cs="Times New Roman"/>
          <w:color w:val="000000"/>
          <w:spacing w:val="0"/>
          <w:kern w:val="0"/>
          <w:szCs w:val="32"/>
          <w:highlight w:val="none"/>
        </w:rPr>
      </w:pPr>
      <w:r>
        <w:rPr>
          <w:rFonts w:hint="eastAsia" w:ascii="黑体" w:hAnsi="黑体" w:eastAsia="黑体" w:cs="Times New Roman"/>
          <w:color w:val="000000"/>
          <w:spacing w:val="0"/>
          <w:kern w:val="0"/>
          <w:szCs w:val="32"/>
          <w:highlight w:val="none"/>
          <w:lang w:eastAsia="zh-CN"/>
        </w:rPr>
        <w:t>六、</w:t>
      </w:r>
      <w:r>
        <w:rPr>
          <w:rFonts w:hint="eastAsia" w:ascii="黑体" w:hAnsi="黑体" w:eastAsia="黑体" w:cs="Times New Roman"/>
          <w:color w:val="000000"/>
          <w:spacing w:val="0"/>
          <w:kern w:val="0"/>
          <w:szCs w:val="32"/>
          <w:highlight w:val="none"/>
        </w:rPr>
        <w:t>让利措施</w:t>
      </w:r>
    </w:p>
    <w:p w14:paraId="3D3F8D9B">
      <w:pPr>
        <w:spacing w:line="590" w:lineRule="exact"/>
        <w:ind w:firstLine="616" w:firstLineChars="200"/>
        <w:rPr>
          <w:rFonts w:hint="default" w:ascii="Times New Roman" w:hAnsi="Times New Roman" w:eastAsia="仿宋_GB2312" w:cs="Times New Roman"/>
          <w:color w:val="000000"/>
          <w:szCs w:val="32"/>
          <w:highlight w:val="none"/>
        </w:rPr>
      </w:pPr>
      <w:r>
        <w:rPr>
          <w:rFonts w:hint="default" w:ascii="Times New Roman" w:hAnsi="Times New Roman" w:eastAsia="仿宋_GB2312" w:cs="Times New Roman"/>
          <w:b/>
          <w:bCs/>
          <w:color w:val="000000"/>
          <w:szCs w:val="32"/>
          <w:highlight w:val="none"/>
        </w:rPr>
        <w:t>1.让利条件：</w:t>
      </w:r>
      <w:r>
        <w:rPr>
          <w:rFonts w:hint="default" w:ascii="Times New Roman" w:hAnsi="Times New Roman" w:eastAsia="仿宋_GB2312" w:cs="Times New Roman"/>
          <w:color w:val="000000"/>
          <w:szCs w:val="32"/>
          <w:highlight w:val="none"/>
        </w:rPr>
        <w:t>被投企业满足协议约定的相关对赌条件或在</w:t>
      </w:r>
      <w:r>
        <w:rPr>
          <w:rFonts w:hint="eastAsia" w:ascii="Times New Roman" w:hAnsi="Times New Roman" w:cs="Times New Roman"/>
          <w:color w:val="000000"/>
          <w:szCs w:val="32"/>
          <w:highlight w:val="none"/>
          <w:lang w:eastAsia="zh-CN"/>
        </w:rPr>
        <w:t>政府投资基金</w:t>
      </w:r>
      <w:r>
        <w:rPr>
          <w:rFonts w:hint="default" w:ascii="Times New Roman" w:hAnsi="Times New Roman" w:eastAsia="仿宋_GB2312" w:cs="Times New Roman"/>
          <w:color w:val="000000"/>
          <w:szCs w:val="32"/>
          <w:highlight w:val="none"/>
        </w:rPr>
        <w:t>成功退出后，</w:t>
      </w:r>
      <w:r>
        <w:rPr>
          <w:rFonts w:hint="eastAsia" w:ascii="Times New Roman" w:hAnsi="Times New Roman" w:cs="Times New Roman"/>
          <w:color w:val="000000"/>
          <w:szCs w:val="32"/>
          <w:highlight w:val="none"/>
          <w:lang w:eastAsia="zh-CN"/>
        </w:rPr>
        <w:t>政府投资基金</w:t>
      </w:r>
      <w:r>
        <w:rPr>
          <w:rFonts w:hint="default" w:ascii="Times New Roman" w:hAnsi="Times New Roman" w:eastAsia="仿宋_GB2312" w:cs="Times New Roman"/>
          <w:color w:val="000000"/>
          <w:szCs w:val="32"/>
          <w:highlight w:val="none"/>
        </w:rPr>
        <w:t>可执行让利政策。</w:t>
      </w:r>
    </w:p>
    <w:p w14:paraId="1E0C9ADE">
      <w:pPr>
        <w:spacing w:line="590" w:lineRule="exact"/>
        <w:ind w:firstLine="616" w:firstLineChars="200"/>
        <w:rPr>
          <w:rFonts w:hint="default" w:ascii="Times New Roman" w:hAnsi="Times New Roman" w:eastAsia="仿宋_GB2312" w:cs="Times New Roman"/>
          <w:color w:val="000000"/>
          <w:szCs w:val="32"/>
          <w:highlight w:val="none"/>
          <w:lang w:eastAsia="zh-CN"/>
        </w:rPr>
      </w:pPr>
      <w:r>
        <w:rPr>
          <w:rFonts w:hint="default" w:ascii="Times New Roman" w:hAnsi="Times New Roman" w:eastAsia="仿宋_GB2312" w:cs="Times New Roman"/>
          <w:b/>
          <w:bCs/>
          <w:color w:val="000000"/>
          <w:szCs w:val="32"/>
          <w:highlight w:val="none"/>
        </w:rPr>
        <w:t>2.让利方式：</w:t>
      </w:r>
      <w:r>
        <w:rPr>
          <w:rFonts w:hint="default" w:ascii="Times New Roman" w:hAnsi="Times New Roman" w:eastAsia="仿宋_GB2312" w:cs="Times New Roman"/>
          <w:color w:val="000000"/>
          <w:szCs w:val="32"/>
          <w:highlight w:val="none"/>
          <w:lang w:eastAsia="zh-CN"/>
        </w:rPr>
        <w:t>（</w:t>
      </w:r>
      <w:r>
        <w:rPr>
          <w:rFonts w:hint="default" w:ascii="Times New Roman" w:hAnsi="Times New Roman" w:eastAsia="仿宋_GB2312" w:cs="Times New Roman"/>
          <w:color w:val="000000"/>
          <w:szCs w:val="32"/>
          <w:highlight w:val="none"/>
          <w:lang w:val="en-US" w:eastAsia="zh-CN"/>
        </w:rPr>
        <w:t>1</w:t>
      </w:r>
      <w:r>
        <w:rPr>
          <w:rFonts w:hint="default" w:ascii="Times New Roman" w:hAnsi="Times New Roman" w:eastAsia="仿宋_GB2312" w:cs="Times New Roman"/>
          <w:color w:val="000000"/>
          <w:szCs w:val="32"/>
          <w:highlight w:val="none"/>
          <w:lang w:eastAsia="zh-CN"/>
        </w:rPr>
        <w:t>）</w:t>
      </w:r>
      <w:r>
        <w:rPr>
          <w:rFonts w:hint="default" w:ascii="Times New Roman" w:hAnsi="Times New Roman" w:eastAsia="仿宋_GB2312" w:cs="Times New Roman"/>
          <w:color w:val="000000"/>
          <w:szCs w:val="32"/>
          <w:highlight w:val="none"/>
        </w:rPr>
        <w:t>被投企业达到对赌条件后，可由被投企业的指定主体</w:t>
      </w:r>
      <w:r>
        <w:rPr>
          <w:rFonts w:hint="default" w:ascii="Times New Roman" w:hAnsi="Times New Roman" w:eastAsia="仿宋_GB2312" w:cs="Times New Roman"/>
          <w:highlight w:val="none"/>
        </w:rPr>
        <w:t>行使回购权利</w:t>
      </w:r>
      <w:r>
        <w:rPr>
          <w:rFonts w:hint="default" w:ascii="Times New Roman" w:hAnsi="Times New Roman" w:eastAsia="仿宋_GB2312" w:cs="Times New Roman"/>
          <w:color w:val="000000"/>
          <w:szCs w:val="32"/>
          <w:highlight w:val="none"/>
        </w:rPr>
        <w:t>，以协议约定的固定收益方式按照一定比例回购</w:t>
      </w:r>
      <w:r>
        <w:rPr>
          <w:rFonts w:hint="eastAsia" w:ascii="Times New Roman" w:hAnsi="Times New Roman" w:cs="Times New Roman"/>
          <w:color w:val="000000"/>
          <w:szCs w:val="32"/>
          <w:highlight w:val="none"/>
          <w:lang w:eastAsia="zh-CN"/>
        </w:rPr>
        <w:t>政府投资基金</w:t>
      </w:r>
      <w:r>
        <w:rPr>
          <w:rFonts w:hint="default" w:ascii="Times New Roman" w:hAnsi="Times New Roman" w:eastAsia="仿宋_GB2312" w:cs="Times New Roman"/>
          <w:color w:val="000000"/>
          <w:szCs w:val="32"/>
          <w:highlight w:val="none"/>
        </w:rPr>
        <w:t>投资额，具体回购比例由基金管理人提出建议；</w:t>
      </w:r>
      <w:r>
        <w:rPr>
          <w:rFonts w:hint="default" w:ascii="Times New Roman" w:hAnsi="Times New Roman" w:eastAsia="仿宋_GB2312" w:cs="Times New Roman"/>
          <w:color w:val="000000"/>
          <w:szCs w:val="32"/>
          <w:highlight w:val="none"/>
          <w:lang w:eastAsia="zh-CN"/>
        </w:rPr>
        <w:t>（</w:t>
      </w:r>
      <w:r>
        <w:rPr>
          <w:rFonts w:hint="default" w:ascii="Times New Roman" w:hAnsi="Times New Roman" w:eastAsia="仿宋_GB2312" w:cs="Times New Roman"/>
          <w:color w:val="000000"/>
          <w:szCs w:val="32"/>
          <w:highlight w:val="none"/>
          <w:lang w:val="en-US" w:eastAsia="zh-CN"/>
        </w:rPr>
        <w:t>2</w:t>
      </w:r>
      <w:r>
        <w:rPr>
          <w:rFonts w:hint="default" w:ascii="Times New Roman" w:hAnsi="Times New Roman" w:eastAsia="仿宋_GB2312" w:cs="Times New Roman"/>
          <w:color w:val="000000"/>
          <w:szCs w:val="32"/>
          <w:highlight w:val="none"/>
          <w:lang w:eastAsia="zh-CN"/>
        </w:rPr>
        <w:t>）</w:t>
      </w:r>
      <w:r>
        <w:rPr>
          <w:rFonts w:hint="eastAsia" w:ascii="Times New Roman" w:hAnsi="Times New Roman" w:cs="Times New Roman"/>
          <w:color w:val="000000"/>
          <w:szCs w:val="32"/>
          <w:highlight w:val="none"/>
          <w:lang w:eastAsia="zh-CN"/>
        </w:rPr>
        <w:t>政府投资基金</w:t>
      </w:r>
      <w:r>
        <w:rPr>
          <w:rFonts w:hint="default" w:ascii="Times New Roman" w:hAnsi="Times New Roman" w:eastAsia="仿宋_GB2312" w:cs="Times New Roman"/>
          <w:color w:val="000000"/>
          <w:szCs w:val="32"/>
          <w:highlight w:val="none"/>
        </w:rPr>
        <w:t>在成功退出后</w:t>
      </w:r>
      <w:r>
        <w:rPr>
          <w:rFonts w:hint="default" w:ascii="Times New Roman" w:hAnsi="Times New Roman" w:eastAsia="仿宋_GB2312" w:cs="Times New Roman"/>
          <w:color w:val="000000"/>
          <w:szCs w:val="32"/>
          <w:highlight w:val="none"/>
          <w:lang w:val="en-US" w:eastAsia="zh-CN"/>
        </w:rPr>
        <w:t>可以</w:t>
      </w:r>
      <w:r>
        <w:rPr>
          <w:rFonts w:hint="default" w:ascii="Times New Roman" w:hAnsi="Times New Roman" w:eastAsia="仿宋_GB2312" w:cs="Times New Roman"/>
          <w:color w:val="000000"/>
          <w:spacing w:val="-6"/>
          <w:kern w:val="2"/>
          <w:sz w:val="32"/>
          <w:szCs w:val="32"/>
          <w:highlight w:val="none"/>
          <w:lang w:val="en-US" w:eastAsia="zh-CN" w:bidi="ar-SA"/>
        </w:rPr>
        <w:t>在该项目投资中所获得的超额收益中的一定比例奖励被投企业管理团队或其他第三方，</w:t>
      </w:r>
      <w:r>
        <w:rPr>
          <w:rFonts w:hint="default" w:ascii="Times New Roman" w:hAnsi="Times New Roman" w:eastAsia="仿宋_GB2312" w:cs="Times New Roman"/>
          <w:color w:val="000000"/>
          <w:szCs w:val="32"/>
          <w:highlight w:val="none"/>
        </w:rPr>
        <w:t>具体</w:t>
      </w:r>
      <w:r>
        <w:rPr>
          <w:rFonts w:hint="default" w:ascii="Times New Roman" w:hAnsi="Times New Roman" w:eastAsia="仿宋_GB2312" w:cs="Times New Roman"/>
          <w:color w:val="000000"/>
          <w:szCs w:val="32"/>
          <w:highlight w:val="none"/>
          <w:lang w:val="en-US" w:eastAsia="zh-CN"/>
        </w:rPr>
        <w:t>奖励</w:t>
      </w:r>
      <w:r>
        <w:rPr>
          <w:rFonts w:hint="default" w:ascii="Times New Roman" w:hAnsi="Times New Roman" w:eastAsia="仿宋_GB2312" w:cs="Times New Roman"/>
          <w:color w:val="000000"/>
          <w:szCs w:val="32"/>
          <w:highlight w:val="none"/>
        </w:rPr>
        <w:t>比例</w:t>
      </w:r>
      <w:r>
        <w:rPr>
          <w:rFonts w:hint="default" w:ascii="Times New Roman" w:hAnsi="Times New Roman" w:eastAsia="仿宋_GB2312" w:cs="Times New Roman"/>
          <w:color w:val="000000"/>
          <w:szCs w:val="32"/>
          <w:highlight w:val="none"/>
          <w:lang w:val="en-US" w:eastAsia="zh-CN"/>
        </w:rPr>
        <w:t>及奖励对象</w:t>
      </w:r>
      <w:r>
        <w:rPr>
          <w:rFonts w:hint="default" w:ascii="Times New Roman" w:hAnsi="Times New Roman" w:eastAsia="仿宋_GB2312" w:cs="Times New Roman"/>
          <w:color w:val="000000"/>
          <w:szCs w:val="32"/>
          <w:highlight w:val="none"/>
        </w:rPr>
        <w:t>由基金管理人提出建议</w:t>
      </w:r>
      <w:r>
        <w:rPr>
          <w:rFonts w:hint="default" w:ascii="Times New Roman" w:hAnsi="Times New Roman" w:eastAsia="仿宋_GB2312" w:cs="Times New Roman"/>
          <w:color w:val="000000"/>
          <w:szCs w:val="32"/>
          <w:highlight w:val="none"/>
          <w:lang w:eastAsia="zh-CN"/>
        </w:rPr>
        <w:t>。</w:t>
      </w:r>
      <w:r>
        <w:rPr>
          <w:rFonts w:hint="eastAsia" w:cs="Times New Roman"/>
          <w:color w:val="000000"/>
          <w:szCs w:val="32"/>
          <w:highlight w:val="none"/>
          <w:lang w:val="en-US" w:eastAsia="zh-CN"/>
        </w:rPr>
        <w:t>根据</w:t>
      </w:r>
      <w:r>
        <w:rPr>
          <w:rFonts w:hint="default" w:ascii="Times New Roman" w:hAnsi="Times New Roman" w:eastAsia="仿宋_GB2312" w:cs="Times New Roman"/>
          <w:color w:val="000000"/>
          <w:szCs w:val="32"/>
        </w:rPr>
        <w:t>《余杭区区级政府投资基金管理办法》</w:t>
      </w:r>
      <w:r>
        <w:rPr>
          <w:rFonts w:hint="eastAsia" w:cs="Times New Roman"/>
          <w:color w:val="000000"/>
          <w:szCs w:val="32"/>
          <w:highlight w:val="none"/>
          <w:lang w:val="en-US" w:eastAsia="zh-CN"/>
        </w:rPr>
        <w:t>进行分级审批</w:t>
      </w:r>
      <w:r>
        <w:rPr>
          <w:rFonts w:hint="eastAsia" w:cs="Times New Roman"/>
          <w:color w:val="000000"/>
          <w:szCs w:val="32"/>
          <w:highlight w:val="none"/>
          <w:lang w:eastAsia="zh-CN"/>
        </w:rPr>
        <w:t>。</w:t>
      </w:r>
    </w:p>
    <w:p w14:paraId="1C024C50">
      <w:pPr>
        <w:spacing w:line="590" w:lineRule="exact"/>
        <w:ind w:firstLine="616" w:firstLineChars="200"/>
        <w:rPr>
          <w:rFonts w:hint="default" w:ascii="Times New Roman" w:hAnsi="Times New Roman" w:eastAsia="仿宋_GB2312" w:cs="Times New Roman"/>
          <w:color w:val="000000"/>
          <w:szCs w:val="32"/>
          <w:highlight w:val="none"/>
        </w:rPr>
      </w:pPr>
      <w:r>
        <w:rPr>
          <w:rFonts w:hint="default" w:ascii="Times New Roman" w:hAnsi="Times New Roman" w:eastAsia="仿宋_GB2312" w:cs="Times New Roman"/>
          <w:b/>
          <w:bCs/>
          <w:color w:val="000000"/>
          <w:szCs w:val="32"/>
          <w:highlight w:val="none"/>
        </w:rPr>
        <w:t>3.单个项目超额收益计算方式：</w:t>
      </w:r>
      <w:r>
        <w:rPr>
          <w:rFonts w:hint="default" w:ascii="Times New Roman" w:hAnsi="Times New Roman" w:eastAsia="仿宋_GB2312" w:cs="Times New Roman"/>
          <w:color w:val="000000"/>
          <w:szCs w:val="32"/>
          <w:highlight w:val="none"/>
        </w:rPr>
        <w:t>单个项目超额收益＝[退出时收回的全部资金-（项目投资本金＋投资期内每年</w:t>
      </w:r>
      <w:r>
        <w:rPr>
          <w:rFonts w:hint="default" w:ascii="Times New Roman" w:hAnsi="Times New Roman" w:eastAsia="仿宋_GB2312" w:cs="Times New Roman"/>
          <w:color w:val="000000"/>
          <w:szCs w:val="32"/>
          <w:highlight w:val="none"/>
          <w:lang w:val="en-US" w:eastAsia="zh-CN"/>
        </w:rPr>
        <w:t>不低于</w:t>
      </w:r>
      <w:r>
        <w:rPr>
          <w:rFonts w:hint="default" w:ascii="Times New Roman" w:hAnsi="Times New Roman" w:eastAsia="仿宋_GB2312" w:cs="Times New Roman"/>
          <w:color w:val="000000"/>
          <w:szCs w:val="32"/>
          <w:highlight w:val="none"/>
        </w:rPr>
        <w:t>6%的固定收益＋被投期间基金管理费＋</w:t>
      </w:r>
      <w:r>
        <w:rPr>
          <w:rFonts w:hint="eastAsia" w:ascii="Times New Roman" w:hAnsi="Times New Roman" w:cs="Times New Roman"/>
          <w:color w:val="000000"/>
          <w:szCs w:val="32"/>
          <w:highlight w:val="none"/>
          <w:lang w:eastAsia="zh-CN"/>
        </w:rPr>
        <w:t>政府投资基金</w:t>
      </w:r>
      <w:r>
        <w:rPr>
          <w:rFonts w:hint="default" w:ascii="Times New Roman" w:hAnsi="Times New Roman" w:eastAsia="仿宋_GB2312" w:cs="Times New Roman"/>
          <w:color w:val="000000"/>
          <w:szCs w:val="32"/>
          <w:highlight w:val="none"/>
        </w:rPr>
        <w:t>承担的相关税费）]。</w:t>
      </w:r>
    </w:p>
    <w:p w14:paraId="33DB6E31">
      <w:pPr>
        <w:snapToGrid w:val="0"/>
        <w:spacing w:line="590" w:lineRule="exact"/>
        <w:ind w:firstLine="616" w:firstLineChars="200"/>
        <w:rPr>
          <w:rFonts w:ascii="黑体" w:hAnsi="黑体" w:eastAsia="黑体" w:cs="Times New Roman"/>
          <w:color w:val="000000"/>
        </w:rPr>
      </w:pPr>
      <w:r>
        <w:rPr>
          <w:rFonts w:hint="eastAsia" w:ascii="黑体" w:hAnsi="黑体" w:eastAsia="黑体" w:cs="Times New Roman"/>
          <w:color w:val="000000"/>
          <w:lang w:eastAsia="zh-CN"/>
        </w:rPr>
        <w:t>七</w:t>
      </w:r>
      <w:r>
        <w:rPr>
          <w:rFonts w:hint="eastAsia" w:ascii="黑体" w:hAnsi="黑体" w:eastAsia="黑体" w:cs="Times New Roman"/>
          <w:color w:val="000000"/>
        </w:rPr>
        <w:t>、风险防控与考核激励</w:t>
      </w:r>
    </w:p>
    <w:p w14:paraId="065ED4F1">
      <w:pPr>
        <w:spacing w:line="590" w:lineRule="exact"/>
        <w:ind w:firstLine="616" w:firstLineChars="200"/>
        <w:rPr>
          <w:rFonts w:ascii="仿宋_GB2312" w:hAnsi="华文仿宋" w:cs="Times New Roman"/>
          <w:color w:val="000000"/>
          <w:szCs w:val="32"/>
        </w:rPr>
      </w:pPr>
      <w:r>
        <w:rPr>
          <w:rFonts w:hint="eastAsia" w:ascii="楷体" w:hAnsi="楷体" w:eastAsia="楷体" w:cs="楷体"/>
          <w:color w:val="000000"/>
          <w:szCs w:val="32"/>
        </w:rPr>
        <w:t>（一）建立健全风险防控机制。</w:t>
      </w:r>
      <w:r>
        <w:rPr>
          <w:rFonts w:hint="default" w:ascii="Times New Roman" w:hAnsi="Times New Roman" w:cs="Times New Roman"/>
          <w:color w:val="000000"/>
          <w:szCs w:val="32"/>
        </w:rPr>
        <w:t>基金管理</w:t>
      </w:r>
      <w:r>
        <w:rPr>
          <w:rFonts w:hint="default" w:ascii="Times New Roman" w:hAnsi="Times New Roman" w:cs="Times New Roman"/>
          <w:color w:val="000000"/>
          <w:szCs w:val="32"/>
          <w:lang w:eastAsia="zh-CN"/>
        </w:rPr>
        <w:t>人</w:t>
      </w:r>
      <w:r>
        <w:rPr>
          <w:rFonts w:hint="default" w:ascii="Times New Roman" w:hAnsi="Times New Roman" w:cs="Times New Roman"/>
          <w:color w:val="000000"/>
          <w:szCs w:val="32"/>
        </w:rPr>
        <w:t>应建立严格的风控合规体系和内部管理制度，定期</w:t>
      </w:r>
      <w:r>
        <w:rPr>
          <w:rFonts w:hint="default" w:ascii="Times New Roman" w:hAnsi="Times New Roman" w:cs="Times New Roman"/>
          <w:color w:val="000000"/>
          <w:szCs w:val="32"/>
          <w:lang w:eastAsia="zh-CN"/>
        </w:rPr>
        <w:t>向</w:t>
      </w:r>
      <w:r>
        <w:rPr>
          <w:rFonts w:hint="eastAsia" w:ascii="Times New Roman" w:hAnsi="Times New Roman" w:cs="Times New Roman"/>
          <w:color w:val="000000"/>
          <w:szCs w:val="32"/>
          <w:lang w:eastAsia="zh-CN"/>
        </w:rPr>
        <w:t>区财政局（国资办）</w:t>
      </w:r>
      <w:r>
        <w:rPr>
          <w:rFonts w:hint="default" w:ascii="Times New Roman" w:hAnsi="Times New Roman" w:cs="Times New Roman"/>
          <w:color w:val="000000"/>
          <w:szCs w:val="32"/>
        </w:rPr>
        <w:t>报送基金运作、财务报表及投资进展、股本变化等情况。基金管理</w:t>
      </w:r>
      <w:r>
        <w:rPr>
          <w:rFonts w:hint="default" w:ascii="Times New Roman" w:hAnsi="Times New Roman" w:cs="Times New Roman"/>
          <w:color w:val="000000"/>
          <w:szCs w:val="32"/>
          <w:lang w:eastAsia="zh-CN"/>
        </w:rPr>
        <w:t>人</w:t>
      </w:r>
      <w:r>
        <w:rPr>
          <w:rFonts w:hint="default" w:ascii="Times New Roman" w:hAnsi="Times New Roman" w:cs="Times New Roman"/>
          <w:color w:val="000000"/>
          <w:szCs w:val="32"/>
        </w:rPr>
        <w:t>需要专业技术支持的</w:t>
      </w:r>
      <w:r>
        <w:rPr>
          <w:rFonts w:hint="default" w:ascii="Times New Roman" w:hAnsi="Times New Roman" w:cs="Times New Roman"/>
          <w:color w:val="000000"/>
          <w:szCs w:val="32"/>
          <w:lang w:eastAsia="zh-CN"/>
        </w:rPr>
        <w:t>，</w:t>
      </w:r>
      <w:r>
        <w:rPr>
          <w:rFonts w:hint="default" w:ascii="Times New Roman" w:hAnsi="Times New Roman" w:cs="Times New Roman"/>
          <w:color w:val="000000"/>
          <w:szCs w:val="32"/>
        </w:rPr>
        <w:t>可委托</w:t>
      </w:r>
      <w:r>
        <w:rPr>
          <w:rFonts w:hint="default" w:ascii="Times New Roman" w:hAnsi="Times New Roman" w:cs="Times New Roman"/>
          <w:color w:val="000000"/>
          <w:szCs w:val="32"/>
          <w:lang w:eastAsia="zh-CN"/>
        </w:rPr>
        <w:t>具备</w:t>
      </w:r>
      <w:r>
        <w:rPr>
          <w:rFonts w:hint="default" w:ascii="Times New Roman" w:hAnsi="Times New Roman" w:cs="Times New Roman"/>
          <w:color w:val="000000"/>
          <w:szCs w:val="32"/>
        </w:rPr>
        <w:t>资质的第三方机构进行技术支持。直接投资的项目出资中如有非现金资产，需经具备资质的资产评估机构进行评估，合理确定同股同权直投基金出资比例。</w:t>
      </w:r>
    </w:p>
    <w:p w14:paraId="215BFA9A">
      <w:pPr>
        <w:spacing w:line="590" w:lineRule="exact"/>
        <w:ind w:firstLine="616" w:firstLineChars="200"/>
        <w:rPr>
          <w:rFonts w:ascii="仿宋_GB2312" w:hAnsi="华文仿宋" w:cs="Times New Roman"/>
          <w:color w:val="000000"/>
          <w:szCs w:val="32"/>
        </w:rPr>
      </w:pPr>
      <w:r>
        <w:rPr>
          <w:rFonts w:hint="eastAsia" w:ascii="楷体" w:hAnsi="楷体" w:eastAsia="楷体" w:cs="楷体"/>
          <w:color w:val="000000"/>
          <w:szCs w:val="32"/>
        </w:rPr>
        <w:t>（二）建立健全奖惩机制。</w:t>
      </w:r>
      <w:r>
        <w:rPr>
          <w:rFonts w:hint="eastAsia" w:ascii="仿宋_GB2312" w:hAnsi="华文仿宋" w:cs="Times New Roman"/>
          <w:color w:val="000000"/>
          <w:szCs w:val="32"/>
        </w:rPr>
        <w:t>为激励管理人引进人才，不断提高运作管理水平，对于投资效益特别好的项目，经基金管理人申请，</w:t>
      </w:r>
      <w:r>
        <w:rPr>
          <w:rFonts w:hint="eastAsia" w:ascii="仿宋_GB2312" w:hAnsi="华文仿宋" w:cs="Times New Roman"/>
          <w:color w:val="000000"/>
          <w:szCs w:val="32"/>
          <w:lang w:eastAsia="zh-CN"/>
        </w:rPr>
        <w:t>区财政局（国资办）</w:t>
      </w:r>
      <w:r>
        <w:rPr>
          <w:rFonts w:hint="eastAsia" w:ascii="仿宋_GB2312" w:hAnsi="华文仿宋" w:cs="Times New Roman"/>
          <w:color w:val="000000"/>
          <w:szCs w:val="32"/>
        </w:rPr>
        <w:t>审核，并报</w:t>
      </w:r>
      <w:r>
        <w:rPr>
          <w:rFonts w:hint="eastAsia" w:cs="Times New Roman"/>
          <w:color w:val="000000"/>
          <w:sz w:val="32"/>
          <w:szCs w:val="32"/>
          <w:lang w:eastAsia="zh-CN"/>
        </w:rPr>
        <w:t>区政府</w:t>
      </w:r>
      <w:r>
        <w:rPr>
          <w:rFonts w:hint="eastAsia" w:ascii="仿宋_GB2312" w:hAnsi="华文仿宋" w:cs="Times New Roman"/>
          <w:color w:val="000000"/>
          <w:szCs w:val="32"/>
        </w:rPr>
        <w:t>批准后，可从该项目投资收益中提取一定比例用于对管理人的业绩奖励；对于投资亏损较大的项目，经报</w:t>
      </w:r>
      <w:r>
        <w:rPr>
          <w:rFonts w:hint="eastAsia" w:cs="Times New Roman"/>
          <w:color w:val="000000"/>
          <w:sz w:val="32"/>
          <w:szCs w:val="32"/>
          <w:lang w:eastAsia="zh-CN"/>
        </w:rPr>
        <w:t>区政府</w:t>
      </w:r>
      <w:r>
        <w:rPr>
          <w:rFonts w:hint="eastAsia" w:ascii="仿宋_GB2312" w:hAnsi="华文仿宋" w:cs="Times New Roman"/>
          <w:color w:val="000000"/>
          <w:szCs w:val="32"/>
        </w:rPr>
        <w:t>批准，相应扣减管理人的管理费用。</w:t>
      </w:r>
    </w:p>
    <w:p w14:paraId="4525C119">
      <w:pPr>
        <w:spacing w:line="590" w:lineRule="exact"/>
        <w:ind w:firstLine="616" w:firstLineChars="200"/>
        <w:rPr>
          <w:rFonts w:cs="Times New Roman"/>
          <w:bCs/>
          <w:szCs w:val="32"/>
        </w:rPr>
      </w:pPr>
      <w:r>
        <w:rPr>
          <w:rFonts w:hint="eastAsia" w:ascii="楷体" w:hAnsi="楷体" w:eastAsia="楷体" w:cs="楷体"/>
          <w:color w:val="000000"/>
          <w:szCs w:val="32"/>
        </w:rPr>
        <w:t>（三）建立健全尽职免责机制。</w:t>
      </w:r>
      <w:r>
        <w:rPr>
          <w:rFonts w:cs="Times New Roman"/>
          <w:bCs/>
          <w:szCs w:val="32"/>
        </w:rPr>
        <w:t>单位和个人在区</w:t>
      </w:r>
      <w:r>
        <w:rPr>
          <w:rFonts w:hint="eastAsia" w:cs="Times New Roman"/>
          <w:bCs/>
          <w:szCs w:val="32"/>
          <w:lang w:eastAsia="zh-CN"/>
        </w:rPr>
        <w:t>级政府投资基金</w:t>
      </w:r>
      <w:r>
        <w:rPr>
          <w:rFonts w:cs="Times New Roman"/>
          <w:bCs/>
          <w:szCs w:val="32"/>
        </w:rPr>
        <w:t>投资运作过程中程序规范，勤勉尽责，但未能实现预期目标或出现偏差失误，不违反党纪党规、法律法规和政策规定，未谋取相关私利，未发现有相关利益输送行为，及时纠错改正的，按照省、市、区相关规定执行。</w:t>
      </w:r>
    </w:p>
    <w:p w14:paraId="6EF387A5">
      <w:pPr>
        <w:snapToGrid w:val="0"/>
        <w:spacing w:line="590" w:lineRule="exact"/>
        <w:ind w:firstLine="616" w:firstLineChars="200"/>
        <w:rPr>
          <w:rFonts w:ascii="黑体" w:eastAsia="黑体" w:cs="Times New Roman"/>
          <w:color w:val="000000"/>
        </w:rPr>
      </w:pPr>
      <w:r>
        <w:rPr>
          <w:rFonts w:hint="eastAsia" w:ascii="黑体" w:eastAsia="黑体" w:cs="Times New Roman"/>
          <w:color w:val="000000"/>
          <w:lang w:eastAsia="zh-CN"/>
        </w:rPr>
        <w:t>八</w:t>
      </w:r>
      <w:r>
        <w:rPr>
          <w:rFonts w:hint="eastAsia" w:ascii="黑体" w:eastAsia="黑体" w:cs="Times New Roman"/>
          <w:color w:val="000000"/>
        </w:rPr>
        <w:t>、附则</w:t>
      </w:r>
    </w:p>
    <w:p w14:paraId="5E019881">
      <w:pPr>
        <w:spacing w:line="590" w:lineRule="exact"/>
        <w:ind w:firstLine="616" w:firstLineChars="200"/>
        <w:rPr>
          <w:rFonts w:hint="eastAsia" w:ascii="黑体" w:hAnsi="黑体" w:eastAsia="黑体" w:cs="黑体"/>
          <w:lang w:val="en-US" w:eastAsia="zh-CN"/>
        </w:rPr>
      </w:pPr>
      <w:r>
        <w:rPr>
          <w:rFonts w:hint="default" w:ascii="Times New Roman" w:hAnsi="Times New Roman" w:eastAsia="仿宋_GB2312" w:cs="Times New Roman"/>
          <w:bCs/>
          <w:szCs w:val="32"/>
          <w:highlight w:val="none"/>
        </w:rPr>
        <w:t>本办法由</w:t>
      </w:r>
      <w:r>
        <w:rPr>
          <w:rFonts w:hint="eastAsia" w:ascii="Times New Roman" w:hAnsi="Times New Roman" w:cs="Times New Roman"/>
          <w:bCs/>
          <w:szCs w:val="32"/>
          <w:highlight w:val="none"/>
          <w:lang w:eastAsia="zh-CN"/>
        </w:rPr>
        <w:t>区财政局（国资办）</w:t>
      </w:r>
      <w:r>
        <w:rPr>
          <w:rFonts w:hint="default" w:ascii="Times New Roman" w:hAnsi="Times New Roman" w:eastAsia="仿宋_GB2312" w:cs="Times New Roman"/>
          <w:bCs/>
          <w:szCs w:val="32"/>
          <w:highlight w:val="none"/>
        </w:rPr>
        <w:t>会同</w:t>
      </w:r>
      <w:r>
        <w:rPr>
          <w:rFonts w:hint="eastAsia" w:ascii="Times New Roman" w:hAnsi="Times New Roman" w:cs="Times New Roman"/>
          <w:bCs/>
          <w:szCs w:val="32"/>
          <w:highlight w:val="none"/>
          <w:lang w:eastAsia="zh-CN"/>
        </w:rPr>
        <w:t>区国投集团</w:t>
      </w:r>
      <w:r>
        <w:rPr>
          <w:rFonts w:hint="default" w:ascii="Times New Roman" w:hAnsi="Times New Roman" w:eastAsia="仿宋_GB2312" w:cs="Times New Roman"/>
          <w:bCs/>
          <w:szCs w:val="32"/>
          <w:highlight w:val="none"/>
        </w:rPr>
        <w:t>负责解释，自发布之日起实施。</w:t>
      </w:r>
      <w:r>
        <w:rPr>
          <w:rFonts w:hint="eastAsia" w:ascii="Times New Roman" w:hAnsi="Times New Roman" w:cs="Times New Roman"/>
          <w:color w:val="auto"/>
          <w:position w:val="-46"/>
          <w:sz w:val="32"/>
          <w:szCs w:val="20"/>
          <w:lang w:eastAsia="zh-CN"/>
        </w:rPr>
        <w:t>投资基金</w:t>
      </w:r>
      <w:r>
        <w:rPr>
          <w:rFonts w:hint="default" w:ascii="Times New Roman" w:hAnsi="Times New Roman" w:eastAsia="仿宋_GB2312" w:cs="Times New Roman"/>
          <w:color w:val="auto"/>
          <w:position w:val="-46"/>
          <w:sz w:val="32"/>
          <w:szCs w:val="20"/>
        </w:rPr>
        <w:t>直接投资</w:t>
      </w:r>
      <w:r>
        <w:rPr>
          <w:rFonts w:hint="default" w:ascii="Times New Roman" w:hAnsi="Times New Roman" w:eastAsia="仿宋_GB2312" w:cs="Times New Roman"/>
          <w:position w:val="-46"/>
        </w:rPr>
        <w:t>立</w:t>
      </w:r>
    </w:p>
    <w:sectPr>
      <w:headerReference r:id="rId5" w:type="default"/>
      <w:footerReference r:id="rId7" w:type="default"/>
      <w:headerReference r:id="rId6" w:type="even"/>
      <w:footerReference r:id="rId8" w:type="even"/>
      <w:pgSz w:w="11906" w:h="16838"/>
      <w:pgMar w:top="2098" w:right="1474" w:bottom="1984" w:left="1587" w:header="851" w:footer="1417" w:gutter="0"/>
      <w:pgNumType w:fmt="decimal" w:start="1"/>
      <w:cols w:space="425" w:num="1"/>
      <w:docGrid w:type="linesAndChars" w:linePitch="579" w:charSpace="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5BBF1F-98E2-47DE-8476-A1B9502680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376C772-7768-44C6-9114-D9A76ADC7542}"/>
  </w:font>
  <w:font w:name="仿宋_GB2312">
    <w:panose1 w:val="02010609030101010101"/>
    <w:charset w:val="86"/>
    <w:family w:val="auto"/>
    <w:pitch w:val="default"/>
    <w:sig w:usb0="00000001" w:usb1="080E0000" w:usb2="00000000" w:usb3="00000000" w:csb0="00040000" w:csb1="00000000"/>
    <w:embedRegular r:id="rId3" w:fontKey="{4EF96AB1-BAEB-457A-8526-6B8D07C6D4AF}"/>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4" w:fontKey="{550A2F43-6DC9-4BCB-882F-C797DD28A9D6}"/>
  </w:font>
  <w:font w:name="楷体">
    <w:panose1 w:val="02010609060101010101"/>
    <w:charset w:val="86"/>
    <w:family w:val="modern"/>
    <w:pitch w:val="default"/>
    <w:sig w:usb0="800002BF" w:usb1="38CF7CFA" w:usb2="00000016" w:usb3="00000000" w:csb0="00040001" w:csb1="00000000"/>
    <w:embedRegular r:id="rId5" w:fontKey="{2C990CF2-39ED-4C6F-9735-A81066486B38}"/>
  </w:font>
  <w:font w:name="华文仿宋">
    <w:panose1 w:val="02010600040101010101"/>
    <w:charset w:val="86"/>
    <w:family w:val="auto"/>
    <w:pitch w:val="default"/>
    <w:sig w:usb0="00000287" w:usb1="080F0000" w:usb2="00000000" w:usb3="00000000" w:csb0="0004009F" w:csb1="DFD70000"/>
    <w:embedRegular r:id="rId6" w:fontKey="{2AB867B8-9D46-4E8F-9501-749612177B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F4D12">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889C60">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16889C60">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521AB">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E1FFEE">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c3nUujgCAABrBAAADgAAAAAAAAABACAAAAAlAQAAZHJzL2Uy&#10;b0RvYy54bWxQSwUGAAAAAAYABgBZAQAAzwUAAAAA&#10;">
              <v:fill on="f" focussize="0,0"/>
              <v:stroke on="f" weight="0.5pt"/>
              <v:imagedata o:title=""/>
              <o:lock v:ext="edit" aspectratio="f"/>
              <v:textbox inset="16pt,0mm,16pt,0mm" style="mso-fit-shape-to-text:t;">
                <w:txbxContent>
                  <w:p w14:paraId="29E1FFEE">
                    <w:pPr>
                      <w:pStyle w:val="12"/>
                      <w:rPr>
                        <w:rFonts w:ascii="宋体" w:hAnsi="宋体" w:eastAsia="宋体"/>
                        <w:sz w:val="28"/>
                      </w:rPr>
                    </w:pPr>
                    <w:r>
                      <w:rPr>
                        <w:rFonts w:ascii="宋体" w:hAnsi="宋体" w:eastAsia="宋体"/>
                        <w:sz w:val="28"/>
                      </w:rPr>
                      <w:t>—</w:t>
                    </w:r>
                    <w:r>
                      <w:rPr>
                        <w:rFonts w:ascii="宋体" w:hAnsi="宋体" w:eastAsia="宋体"/>
                        <w:sz w:val="24"/>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xml:space="preserve"> </w:t>
                    </w:r>
                    <w:r>
                      <w:rPr>
                        <w:rFonts w:ascii="宋体" w:hAnsi="宋体" w:eastAsia="宋体"/>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6181F">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26260">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1"/>
  <w:bordersDoNotSurroundFooter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F35986"/>
    <w:rsid w:val="3FA74838"/>
    <w:rsid w:val="46D12068"/>
    <w:rsid w:val="47F35986"/>
    <w:rsid w:val="507D0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officialmode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rPr>
  </w:style>
  <w:style w:type="paragraph" w:styleId="2">
    <w:name w:val="heading 1"/>
    <w:next w:val="1"/>
    <w:qFormat/>
    <w:uiPriority w:val="0"/>
    <w:pPr>
      <w:keepNext/>
      <w:keepLines/>
      <w:spacing w:beforeLines="0" w:beforeAutospacing="0" w:afterLines="0" w:afterAutospacing="0" w:line="560" w:lineRule="exact"/>
      <w:ind w:firstLine="894" w:firstLineChars="200"/>
      <w:outlineLvl w:val="0"/>
    </w:pPr>
    <w:rPr>
      <w:rFonts w:ascii="黑体" w:hAnsi="黑体" w:eastAsia="黑体" w:cs="黑体"/>
      <w:kern w:val="44"/>
      <w:sz w:val="32"/>
      <w:szCs w:val="32"/>
    </w:rPr>
  </w:style>
  <w:style w:type="paragraph" w:styleId="3">
    <w:name w:val="heading 2"/>
    <w:next w:val="1"/>
    <w:semiHidden/>
    <w:unhideWhenUsed/>
    <w:qFormat/>
    <w:uiPriority w:val="0"/>
    <w:pPr>
      <w:keepNext/>
      <w:keepLines/>
      <w:spacing w:beforeLines="0" w:beforeAutospacing="0" w:afterLines="0" w:afterAutospacing="0" w:line="560" w:lineRule="exact"/>
      <w:ind w:firstLine="894" w:firstLineChars="200"/>
      <w:outlineLvl w:val="1"/>
    </w:pPr>
    <w:rPr>
      <w:rFonts w:ascii="Times New Roman" w:hAnsi="Times New Roman" w:eastAsia="楷体_GB2312" w:cs="楷体_GB2312"/>
      <w:sz w:val="32"/>
      <w:szCs w:val="32"/>
    </w:rPr>
  </w:style>
  <w:style w:type="paragraph" w:styleId="4">
    <w:name w:val="heading 3"/>
    <w:next w:val="1"/>
    <w:semiHidden/>
    <w:unhideWhenUsed/>
    <w:qFormat/>
    <w:uiPriority w:val="0"/>
    <w:pPr>
      <w:keepNext/>
      <w:keepLines/>
      <w:spacing w:beforeLines="0" w:beforeAutospacing="0" w:afterLines="0" w:afterAutospacing="0" w:line="560" w:lineRule="exact"/>
      <w:ind w:firstLine="894" w:firstLineChars="200"/>
      <w:outlineLvl w:val="2"/>
    </w:pPr>
    <w:rPr>
      <w:rFonts w:ascii="Times New Roman" w:hAnsi="Times New Roman" w:eastAsia="仿宋_GB2312" w:cs="仿宋_GB2312"/>
      <w:sz w:val="32"/>
      <w:szCs w:val="32"/>
    </w:rPr>
  </w:style>
  <w:style w:type="paragraph" w:styleId="5">
    <w:name w:val="heading 4"/>
    <w:next w:val="1"/>
    <w:semiHidden/>
    <w:unhideWhenUsed/>
    <w:qFormat/>
    <w:uiPriority w:val="0"/>
    <w:pPr>
      <w:keepNext/>
      <w:keepLines/>
      <w:spacing w:beforeLines="0" w:beforeAutospacing="0" w:afterLines="0" w:afterAutospacing="0" w:line="560" w:lineRule="exact"/>
      <w:ind w:firstLine="894" w:firstLineChars="200"/>
      <w:outlineLvl w:val="3"/>
    </w:pPr>
    <w:rPr>
      <w:rFonts w:ascii="Times New Roman" w:hAnsi="Times New Roman" w:eastAsia="仿宋_GB2312" w:cs="仿宋_GB2312"/>
      <w:sz w:val="32"/>
      <w:szCs w:val="32"/>
    </w:rPr>
  </w:style>
  <w:style w:type="paragraph" w:styleId="6">
    <w:name w:val="heading 5"/>
    <w:next w:val="1"/>
    <w:semiHidden/>
    <w:unhideWhenUsed/>
    <w:qFormat/>
    <w:uiPriority w:val="0"/>
    <w:pPr>
      <w:spacing w:line="560" w:lineRule="exact"/>
      <w:ind w:firstLine="894" w:firstLineChars="200"/>
      <w:outlineLvl w:val="4"/>
    </w:pPr>
    <w:rPr>
      <w:rFonts w:ascii="Times New Roman" w:hAnsi="Times New Roman" w:eastAsia="仿宋_GB2312" w:cs="仿宋_GB2312"/>
      <w:sz w:val="32"/>
      <w:szCs w:val="32"/>
    </w:rPr>
  </w:style>
  <w:style w:type="paragraph" w:styleId="7">
    <w:name w:val="heading 6"/>
    <w:next w:val="1"/>
    <w:semiHidden/>
    <w:unhideWhenUsed/>
    <w:qFormat/>
    <w:uiPriority w:val="0"/>
    <w:pPr>
      <w:spacing w:line="560" w:lineRule="exact"/>
      <w:ind w:firstLine="894" w:firstLineChars="200"/>
      <w:outlineLvl w:val="5"/>
    </w:pPr>
    <w:rPr>
      <w:rFonts w:ascii="Times New Roman" w:hAnsi="Times New Roman" w:eastAsia="仿宋_GB2312" w:cs="仿宋_GB2312"/>
      <w:sz w:val="32"/>
      <w:szCs w:val="32"/>
    </w:rPr>
  </w:style>
  <w:style w:type="paragraph" w:styleId="8">
    <w:name w:val="heading 7"/>
    <w:next w:val="1"/>
    <w:semiHidden/>
    <w:unhideWhenUsed/>
    <w:qFormat/>
    <w:uiPriority w:val="0"/>
    <w:pPr>
      <w:spacing w:line="560" w:lineRule="exact"/>
      <w:ind w:firstLine="894" w:firstLineChars="200"/>
      <w:outlineLvl w:val="6"/>
    </w:pPr>
    <w:rPr>
      <w:rFonts w:ascii="Times New Roman" w:hAnsi="Times New Roman" w:eastAsia="仿宋_GB2312" w:cs="仿宋_GB2312"/>
      <w:sz w:val="32"/>
      <w:szCs w:val="32"/>
    </w:rPr>
  </w:style>
  <w:style w:type="paragraph" w:styleId="9">
    <w:name w:val="heading 8"/>
    <w:next w:val="1"/>
    <w:semiHidden/>
    <w:unhideWhenUsed/>
    <w:qFormat/>
    <w:uiPriority w:val="0"/>
    <w:pPr>
      <w:spacing w:line="560" w:lineRule="exact"/>
      <w:ind w:firstLine="894" w:firstLineChars="200"/>
      <w:outlineLvl w:val="7"/>
    </w:pPr>
    <w:rPr>
      <w:rFonts w:ascii="Times New Roman" w:hAnsi="Times New Roman" w:eastAsia="仿宋_GB2312" w:cs="仿宋_GB2312"/>
      <w:sz w:val="32"/>
      <w:szCs w:val="32"/>
    </w:rPr>
  </w:style>
  <w:style w:type="paragraph" w:styleId="10">
    <w:name w:val="heading 9"/>
    <w:next w:val="1"/>
    <w:semiHidden/>
    <w:unhideWhenUsed/>
    <w:qFormat/>
    <w:uiPriority w:val="0"/>
    <w:pPr>
      <w:spacing w:line="560" w:lineRule="exact"/>
      <w:ind w:firstLine="894" w:firstLineChars="200"/>
      <w:outlineLvl w:val="8"/>
    </w:pPr>
    <w:rPr>
      <w:rFonts w:ascii="Times New Roman" w:hAnsi="Times New Roman" w:eastAsia="仿宋_GB2312" w:cs="仿宋_GB2312"/>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line="560" w:lineRule="exact"/>
      <w:ind w:firstLine="630" w:firstLineChars="200"/>
      <w:jc w:val="both"/>
    </w:pPr>
    <w:rPr>
      <w:rFonts w:ascii="Times New Roman" w:hAnsi="Times New Roman" w:eastAsia="仿宋_GB2312" w:cs="仿宋_GB2312"/>
      <w:spacing w:val="-6"/>
      <w:sz w:val="32"/>
      <w:szCs w:val="32"/>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qFormat/>
    <w:uiPriority w:val="0"/>
    <w:pPr>
      <w:spacing w:beforeLines="0" w:beforeAutospacing="0" w:afterLines="0" w:afterAutospacing="0" w:line="720" w:lineRule="exact"/>
      <w:jc w:val="center"/>
      <w:outlineLvl w:val="9"/>
    </w:pPr>
    <w:rPr>
      <w:rFonts w:ascii="Times New Roman" w:hAnsi="Times New Roman" w:eastAsia="仿宋_GB2312" w:cs="仿宋_GB2312"/>
      <w:kern w:val="28"/>
      <w:sz w:val="32"/>
      <w:szCs w:val="32"/>
    </w:rPr>
  </w:style>
  <w:style w:type="paragraph" w:styleId="15">
    <w:name w:val="Title"/>
    <w:qFormat/>
    <w:uiPriority w:val="0"/>
    <w:pPr>
      <w:spacing w:line="720" w:lineRule="exact"/>
      <w:jc w:val="center"/>
      <w:outlineLvl w:val="9"/>
    </w:pPr>
    <w:rPr>
      <w:rFonts w:ascii="方正小标宋简体" w:hAnsi="方正小标宋简体" w:eastAsia="方正小标宋简体" w:cs="方正小标宋简体"/>
      <w:sz w:val="44"/>
      <w:szCs w:val="44"/>
    </w:rPr>
  </w:style>
  <w:style w:type="character" w:styleId="18">
    <w:name w:val="Hyperlink"/>
    <w:basedOn w:val="1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2478</Words>
  <Characters>2557</Characters>
  <Lines>0</Lines>
  <Paragraphs>0</Paragraphs>
  <TotalTime>0</TotalTime>
  <ScaleCrop>false</ScaleCrop>
  <LinksUpToDate>false</LinksUpToDate>
  <CharactersWithSpaces>2558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2025-12-05T06:49:00Z</dcterms:created>
  <dc:creator>韩柠蔚</dc:creator>
  <cp:lastModifiedBy>茜</cp:lastModifiedBy>
  <dcterms:modified xsi:type="dcterms:W3CDTF">2025-12-05T08:35:36Z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FC1BFDB4596341A0A8FDD83882458B5B_11</vt:lpwstr>
  </property>
  <property fmtid="{D5CDD505-2E9C-101B-9397-08002B2CF9AE}" pid="4" name="KSOTemplateDocerSaveRecord">
    <vt:lpwstr>eyJoZGlkIjoiMjUyYjA5ODVlZTJlODFiM2FhMTM4OWNjMWQ4NzI3MmQiLCJ1c2VySWQiOiIyNjMxNjg3NzQifQ==</vt:lpwstr>
  </property>
</Properties>
</file>