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7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560" w:lineRule="exact"/>
        <w:ind w:left="0" w:leftChars="0" w:right="0" w:firstLine="42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sz w:val="44"/>
          <w:szCs w:val="44"/>
          <w:lang w:val="en-US" w:eastAsia="zh-CN"/>
        </w:rPr>
        <w:t>杭州市余杭区行政审批服务管理办公室</w:t>
      </w:r>
    </w:p>
    <w:p>
      <w:pPr>
        <w:pStyle w:val="7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560" w:lineRule="exact"/>
        <w:ind w:left="0" w:leftChars="0" w:right="0" w:firstLine="420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sz w:val="44"/>
          <w:szCs w:val="44"/>
          <w:lang w:val="en-US" w:eastAsia="zh-CN"/>
        </w:rPr>
        <w:t>2023年度政府信息公开工作年度报告</w:t>
      </w:r>
    </w:p>
    <w:p>
      <w:pPr>
        <w:widowControl/>
        <w:numPr>
          <w:numId w:val="0"/>
        </w:numPr>
        <w:shd w:val="clear" w:color="auto" w:fill="FFFFFF"/>
        <w:wordWrap/>
        <w:adjustRightInd/>
        <w:snapToGrid/>
        <w:spacing w:line="57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</w:p>
    <w:p>
      <w:pPr>
        <w:widowControl/>
        <w:numPr>
          <w:numId w:val="0"/>
        </w:numPr>
        <w:shd w:val="clear" w:color="auto" w:fill="FFFFFF"/>
        <w:wordWrap/>
        <w:adjustRightInd/>
        <w:snapToGrid/>
        <w:spacing w:line="57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2023年，杭州市余杭区行政审批服务管理办公室（以下简称“区审管办”）根据《中华人民共和国政府信息公开条例》规定，结合工作实际，全面梳理本年度政府信息公开工作总体情况、主动公开政府信息情况、存在的主要问题及改进情况等，编制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  <w:t>本年度区审管办政府信息公开工作报告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。</w:t>
      </w:r>
    </w:p>
    <w:p>
      <w:pPr>
        <w:widowControl w:val="0"/>
        <w:wordWrap/>
        <w:adjustRightInd/>
        <w:snapToGrid/>
        <w:spacing w:beforeAutospacing="0" w:afterAutospacing="0" w:line="57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本报告中所列数据统计期限为2023年1月1日至12月31日。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-SA"/>
        </w:rPr>
        <w:t>本报告电子版可以从余杭区门户网下载，如对本报告有疑问，请与区审管办综合科联系。(地址：浙江省余杭区凤新路366号瑞鸿大厦，邮编：311121，联系电话：0571-88505000）。</w:t>
      </w:r>
    </w:p>
    <w:p>
      <w:pPr>
        <w:pStyle w:val="7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</w:rPr>
        <w:t>总体情况</w:t>
      </w:r>
    </w:p>
    <w:p>
      <w:pPr>
        <w:wordWrap/>
        <w:adjustRightInd/>
        <w:snapToGrid w:val="0"/>
        <w:spacing w:line="570" w:lineRule="exact"/>
        <w:ind w:firstLine="645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（一）主动公开</w:t>
      </w:r>
    </w:p>
    <w:p>
      <w:pPr>
        <w:widowControl/>
        <w:numPr>
          <w:numId w:val="0"/>
        </w:numPr>
        <w:shd w:val="clear" w:color="auto" w:fill="FFFFFF"/>
        <w:wordWrap/>
        <w:adjustRightInd/>
        <w:snapToGrid/>
        <w:spacing w:line="57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2023年度，区审管办通过余杭区政府门户网站，主动公开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信息1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51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条，其中政策文件及解读26条，财政信息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条，政府集中采购1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条，重点领域1条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。发挥政务新媒体作用，通过微信公众号累计发布推文285篇。</w:t>
      </w:r>
    </w:p>
    <w:p>
      <w:pPr>
        <w:wordWrap/>
        <w:adjustRightInd/>
        <w:snapToGrid w:val="0"/>
        <w:spacing w:line="570" w:lineRule="exact"/>
        <w:ind w:firstLine="645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（二）依申请公开办理情况</w:t>
      </w:r>
    </w:p>
    <w:p>
      <w:pPr>
        <w:widowControl/>
        <w:numPr>
          <w:numId w:val="0"/>
        </w:numPr>
        <w:shd w:val="clear" w:color="auto" w:fill="FFFFFF"/>
        <w:wordWrap/>
        <w:adjustRightInd/>
        <w:snapToGrid/>
        <w:spacing w:line="57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2023年度，区审管办收到依申请公开政府信息2件，已在规定时限内进行答复，未因政府信息公开引起行政复议或行政诉讼。</w:t>
      </w:r>
    </w:p>
    <w:p>
      <w:pPr>
        <w:wordWrap/>
        <w:adjustRightInd/>
        <w:snapToGrid w:val="0"/>
        <w:spacing w:line="570" w:lineRule="exact"/>
        <w:ind w:firstLine="645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（三）政府信息管理</w:t>
      </w:r>
    </w:p>
    <w:p>
      <w:pPr>
        <w:widowControl/>
        <w:numPr>
          <w:numId w:val="0"/>
        </w:numPr>
        <w:shd w:val="clear" w:color="auto" w:fill="FFFFFF"/>
        <w:wordWrap/>
        <w:adjustRightInd/>
        <w:snapToGrid/>
        <w:spacing w:line="57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严格遵循“以公开为原则，不公开为例外”的原则,完善“主要领导亲自抓、分管领导直接抓、科室专人抓落实”的工作格局，确保责任到人、落实到岗。严格执行信息发布审批制度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根据法定主动公开内容目录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及时公开本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单位政策文件及解读、财政、人事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等信息，并根据组织人事变动情况对机构信息进行动态调整。</w:t>
      </w:r>
    </w:p>
    <w:p>
      <w:pPr>
        <w:wordWrap/>
        <w:adjustRightInd/>
        <w:snapToGrid w:val="0"/>
        <w:spacing w:line="570" w:lineRule="exact"/>
        <w:ind w:firstLine="645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（四）政府信息公开平台建设</w:t>
      </w:r>
    </w:p>
    <w:p>
      <w:pPr>
        <w:widowControl/>
        <w:numPr>
          <w:numId w:val="0"/>
        </w:numPr>
        <w:shd w:val="clear" w:color="auto" w:fill="FFFFFF"/>
        <w:wordWrap/>
        <w:adjustRightInd/>
        <w:snapToGrid/>
        <w:spacing w:line="57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以群众需求为导向，不断丰富政务信息公开的载体和渠道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。一是在政务服务大厅各楼层放置进驻部门的政策文件、办事指南，设置自助办理区以及开辟投诉通道，提供权威性、一站式、个性化的信息服务，让企业群众办事更高效便捷。二是在一楼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政务公开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区和余悦书吧建立政府信息公开查阅点，提供政府公报等查阅服务。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三是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畅通政务新媒体互动渠道。建立并完善微信公众号线上反馈通道，结合政府网站、政务热线等加强政民互动，走好网上群众路线。</w:t>
      </w:r>
    </w:p>
    <w:p>
      <w:pPr>
        <w:wordWrap/>
        <w:adjustRightInd/>
        <w:snapToGrid w:val="0"/>
        <w:spacing w:line="570" w:lineRule="exact"/>
        <w:ind w:firstLine="645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（五）监督保障</w:t>
      </w:r>
    </w:p>
    <w:p>
      <w:pPr>
        <w:widowControl/>
        <w:numPr>
          <w:numId w:val="0"/>
        </w:numPr>
        <w:shd w:val="clear" w:color="auto" w:fill="FFFFFF"/>
        <w:wordWrap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明确信息公开工作分管领导，由综合科统筹负责，落实专职人员负责信息公开工作，以精准的考核制度保障信息公开工作组织有力、业务规范、开展有序，基本做到公开内容无错，公开程序规范，积极落实社会评议制度，广泛听取群众意见。2023年度未发生政务公开工作责任追究结果情况。</w:t>
      </w:r>
    </w:p>
    <w:p>
      <w:pPr>
        <w:pStyle w:val="7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lang w:val="en-US" w:eastAsia="zh-CN"/>
        </w:rPr>
        <w:t>二、主动公开政府信息情况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4"/>
          <w:szCs w:val="24"/>
          <w:lang w:val="en-US" w:eastAsia="zh-CN"/>
        </w:rPr>
        <w:tab/>
      </w:r>
    </w:p>
    <w:tbl>
      <w:tblPr>
        <w:tblStyle w:val="9"/>
        <w:tblW w:w="974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　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   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 w:val="0"/>
        <w:numPr>
          <w:numId w:val="0"/>
        </w:numPr>
        <w:wordWrap/>
        <w:adjustRightInd/>
        <w:snapToGrid/>
        <w:spacing w:beforeAutospacing="0" w:afterAutospacing="0" w:line="560" w:lineRule="exact"/>
        <w:ind w:right="0"/>
        <w:jc w:val="both"/>
        <w:textAlignment w:val="auto"/>
        <w:outlineLvl w:val="9"/>
        <w:rPr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</w:rPr>
        <w:t>收到和处理政府信息公开申请情况</w:t>
      </w:r>
    </w:p>
    <w:tbl>
      <w:tblPr>
        <w:tblStyle w:val="9"/>
        <w:tblW w:w="9748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商业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 w:val="0"/>
        <w:numPr>
          <w:numId w:val="0"/>
        </w:numPr>
        <w:wordWrap/>
        <w:adjustRightInd/>
        <w:snapToGrid/>
        <w:spacing w:beforeAutospacing="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</w:rPr>
        <w:t>政府信息公开行政复议、行政诉讼情况</w:t>
      </w:r>
    </w:p>
    <w:tbl>
      <w:tblPr>
        <w:tblStyle w:val="9"/>
        <w:tblW w:w="9748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其他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尚未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其他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尚未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尚未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0</w:t>
            </w:r>
          </w:p>
        </w:tc>
      </w:tr>
    </w:tbl>
    <w:p>
      <w:pPr>
        <w:widowControl w:val="0"/>
        <w:numPr>
          <w:numId w:val="0"/>
        </w:numPr>
        <w:wordWrap/>
        <w:adjustRightInd/>
        <w:snapToGrid/>
        <w:spacing w:beforeAutospacing="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</w:rPr>
        <w:t>五、存在的主要问题及改进情况</w:t>
      </w:r>
    </w:p>
    <w:p>
      <w:pPr>
        <w:widowControl/>
        <w:numPr>
          <w:numId w:val="0"/>
        </w:numPr>
        <w:shd w:val="clear" w:color="auto" w:fill="FFFFFF"/>
        <w:wordWrap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2023年，区审管办在政务公开工作方面虽采取了一系列措施，取得了一定成效，但面对新形势和新任务，还存在不足与短板，主要表现在：一是政务公开体制机制有待完善，信息公开存在内容不够全、更新不够快等问题；二是政务公开工作业务能力有待提升；三是政务公开创新意识有待加强，形式、内容、载体方面有待进一步拓展。</w:t>
      </w:r>
    </w:p>
    <w:p>
      <w:pPr>
        <w:widowControl/>
        <w:numPr>
          <w:numId w:val="0"/>
        </w:numPr>
        <w:shd w:val="clear" w:color="auto" w:fill="FFFFFF"/>
        <w:wordWrap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针对工作中存在的问题，对标省市区有关工作要求，2024年区审管办将从以下三方面精准发力：</w:t>
      </w:r>
    </w:p>
    <w:p>
      <w:pPr>
        <w:widowControl w:val="0"/>
        <w:numPr>
          <w:numId w:val="0"/>
        </w:numPr>
        <w:wordWrap/>
        <w:adjustRightInd/>
        <w:snapToGrid/>
        <w:spacing w:line="570" w:lineRule="exact"/>
        <w:ind w:left="0" w:leftChars="0" w:right="0" w:firstLine="643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一是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健全工作机制</w:t>
      </w:r>
      <w:r>
        <w:rPr>
          <w:rFonts w:hint="default" w:ascii="Times New Roman" w:hAnsi="Times New Roman" w:eastAsia="仿宋_GB2312" w:cs="Times New Roman"/>
          <w:b/>
          <w:bCs/>
          <w:color w:val="auto"/>
          <w:spacing w:val="0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以制度建设为抓手，全面完善政务信息公开工作。对标对表浙江省政务公开工作“一本账”，拓宽公开范围，细化公开内容，持续推进信息起草、管理、审查、公开全流程规范化操作。</w:t>
      </w:r>
      <w:r>
        <w:rPr>
          <w:rFonts w:hint="eastAsia" w:ascii="Times New Roman" w:hAnsi="Times New Roman" w:eastAsia="仿宋_GB2312" w:cs="Times New Roman"/>
          <w:b/>
          <w:bCs/>
          <w:color w:val="auto"/>
          <w:spacing w:val="0"/>
          <w:sz w:val="32"/>
          <w:szCs w:val="32"/>
          <w:lang w:val="en-US" w:eastAsia="zh-CN"/>
        </w:rPr>
        <w:t>二是</w:t>
      </w:r>
      <w:r>
        <w:rPr>
          <w:rFonts w:hint="default" w:ascii="Times New Roman" w:hAnsi="Times New Roman" w:eastAsia="仿宋_GB2312" w:cs="Times New Roman"/>
          <w:b/>
          <w:bCs/>
          <w:color w:val="auto"/>
          <w:spacing w:val="0"/>
          <w:sz w:val="32"/>
          <w:szCs w:val="32"/>
          <w:lang w:val="en-US" w:eastAsia="zh-CN"/>
        </w:rPr>
        <w:t>加强业务培训。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扎实开展单位内部理论及实操培训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通过认真学习研究，增强工作人员政务公开意识，准确把握新条例各项规定，提高业务能力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仿宋_GB2312" w:cs="Times New Roman"/>
          <w:b/>
          <w:bCs/>
          <w:color w:val="auto"/>
          <w:spacing w:val="0"/>
          <w:sz w:val="32"/>
          <w:szCs w:val="32"/>
          <w:lang w:val="en-US" w:eastAsia="zh-CN"/>
        </w:rPr>
        <w:t>三是</w:t>
      </w:r>
      <w:r>
        <w:rPr>
          <w:rFonts w:hint="default" w:ascii="Times New Roman" w:hAnsi="Times New Roman" w:eastAsia="仿宋_GB2312" w:cs="Times New Roman"/>
          <w:b/>
          <w:bCs/>
          <w:color w:val="auto"/>
          <w:spacing w:val="0"/>
          <w:sz w:val="32"/>
          <w:szCs w:val="32"/>
          <w:lang w:val="en-US" w:eastAsia="zh-CN"/>
        </w:rPr>
        <w:t>深化创新赋能。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广泛运用图解、表格、视频等方式对政策进行通俗易懂的解说，丰富解读形式，提高解读质量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丰富微信公众号线上互动形式，通过投票、留言等形式了解群众需求，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主动回应群众关切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努力实现信息发布的及时性、有效性。</w:t>
      </w:r>
    </w:p>
    <w:p>
      <w:pPr>
        <w:pStyle w:val="7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kern w:val="2"/>
          <w:sz w:val="32"/>
          <w:szCs w:val="32"/>
          <w:lang w:val="en-US" w:eastAsia="zh-CN" w:bidi="ar-SA"/>
        </w:rPr>
        <w:t>六、其他需要报告的事项</w:t>
      </w:r>
    </w:p>
    <w:p>
      <w:pPr>
        <w:widowControl w:val="0"/>
        <w:wordWrap/>
        <w:adjustRightInd/>
        <w:snapToGrid/>
        <w:spacing w:line="240" w:lineRule="auto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本单位2023年未收取信息处理费。</w:t>
      </w:r>
    </w:p>
    <w:p>
      <w:pPr>
        <w:widowControl w:val="0"/>
        <w:wordWrap/>
        <w:adjustRightInd/>
        <w:snapToGrid/>
        <w:spacing w:line="240" w:lineRule="auto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widowControl w:val="0"/>
        <w:wordWrap/>
        <w:adjustRightInd/>
        <w:snapToGrid/>
        <w:spacing w:line="600" w:lineRule="exact"/>
        <w:ind w:left="0" w:leftChars="0" w:right="0"/>
        <w:jc w:val="right"/>
        <w:textAlignment w:val="auto"/>
        <w:outlineLvl w:val="9"/>
        <w:rPr>
          <w:rFonts w:hint="default" w:ascii="Times New Roman" w:hAnsi="Times New Roman" w:eastAsia="仿宋_GB2312" w:cs="Times New Roman"/>
          <w:b w:val="0"/>
          <w:color w:val="000000"/>
          <w:spacing w:val="0"/>
          <w:kern w:val="2"/>
          <w:sz w:val="32"/>
          <w:szCs w:val="32"/>
          <w:lang w:val="en-US" w:eastAsia="zh-CN" w:bidi="ar-SA"/>
        </w:rPr>
      </w:pPr>
    </w:p>
    <w:p>
      <w:pPr>
        <w:widowControl w:val="0"/>
        <w:wordWrap/>
        <w:adjustRightInd/>
        <w:snapToGrid/>
        <w:spacing w:line="600" w:lineRule="exact"/>
        <w:ind w:left="0" w:leftChars="0" w:right="0"/>
        <w:jc w:val="right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color w:val="000000"/>
          <w:spacing w:val="0"/>
          <w:kern w:val="2"/>
          <w:sz w:val="32"/>
          <w:szCs w:val="32"/>
          <w:lang w:val="en-US" w:eastAsia="zh-CN" w:bidi="ar-SA"/>
        </w:rPr>
        <w:t>杭州市余杭区行政审批服务管理办公室</w:t>
      </w:r>
    </w:p>
    <w:p>
      <w:pPr>
        <w:widowControl w:val="0"/>
        <w:wordWrap/>
        <w:adjustRightInd/>
        <w:snapToGrid/>
        <w:spacing w:line="600" w:lineRule="exact"/>
        <w:ind w:left="0" w:leftChars="0" w:right="0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 xml:space="preserve">                             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日</w:t>
      </w:r>
    </w:p>
    <w:p>
      <w:pPr>
        <w:widowControl w:val="0"/>
        <w:wordWrap/>
        <w:adjustRightInd/>
        <w:snapToGrid/>
        <w:spacing w:line="240" w:lineRule="auto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widowControl/>
        <w:numPr>
          <w:numId w:val="0"/>
        </w:numPr>
        <w:shd w:val="clear" w:color="auto" w:fill="FFFFFF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</w:p>
    <w:p>
      <w:pPr>
        <w:widowControl/>
        <w:numPr>
          <w:numId w:val="0"/>
        </w:numPr>
        <w:shd w:val="clear" w:color="auto" w:fill="FFFFFF"/>
        <w:wordWrap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</w:p>
    <w:p>
      <w:pPr>
        <w:widowControl/>
        <w:numPr>
          <w:numId w:val="0"/>
        </w:numPr>
        <w:shd w:val="clear" w:color="auto" w:fill="FFFFFF"/>
        <w:jc w:val="left"/>
        <w:rPr>
          <w:rFonts w:hint="eastAsia" w:ascii="仿宋_GB2312" w:hAnsi="仿宋_GB2312" w:eastAsia="仿宋_GB2312" w:cs="仿宋_GB2312"/>
          <w:b/>
          <w:bCs/>
          <w:color w:val="333333"/>
          <w:kern w:val="0"/>
          <w:sz w:val="27"/>
          <w:szCs w:val="27"/>
          <w:lang w:val="en-US" w:eastAsia="zh-CN"/>
        </w:rPr>
      </w:pPr>
    </w:p>
    <w:p>
      <w:pPr>
        <w:widowControl/>
        <w:numPr>
          <w:numId w:val="0"/>
        </w:numPr>
        <w:shd w:val="clear" w:color="auto" w:fill="FFFFFF"/>
        <w:jc w:val="left"/>
        <w:rPr>
          <w:rFonts w:hint="default" w:ascii="仿宋_GB2312" w:hAnsi="仿宋_GB2312" w:eastAsia="仿宋_GB2312" w:cs="仿宋_GB2312"/>
          <w:b/>
          <w:bCs/>
          <w:color w:val="333333"/>
          <w:kern w:val="0"/>
          <w:sz w:val="27"/>
          <w:szCs w:val="27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"/>
  </w:docVars>
  <w:rsids>
    <w:rsidRoot w:val="00172A27"/>
    <w:rsid w:val="239905D8"/>
    <w:rsid w:val="35113553"/>
    <w:rsid w:val="45E72CEF"/>
    <w:rsid w:val="793A14B9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0"/>
    <w:pPr>
      <w:keepNext/>
      <w:keepLines/>
      <w:spacing w:line="360" w:lineRule="auto"/>
      <w:outlineLvl w:val="0"/>
    </w:pPr>
    <w:rPr>
      <w:rFonts w:ascii="Times New Roman" w:hAnsi="Times New Roman" w:eastAsia="黑体"/>
      <w:bCs/>
      <w:kern w:val="44"/>
      <w:sz w:val="32"/>
      <w:szCs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outlineLvl w:val="1"/>
    </w:pPr>
    <w:rPr>
      <w:rFonts w:ascii="Times New Roman" w:hAnsi="Times New Roman" w:eastAsia="黑体"/>
      <w:sz w:val="30"/>
      <w:szCs w:val="22"/>
    </w:rPr>
  </w:style>
  <w:style w:type="paragraph" w:styleId="4">
    <w:name w:val="heading 3"/>
    <w:basedOn w:val="1"/>
    <w:next w:val="1"/>
    <w:link w:val="15"/>
    <w:unhideWhenUsed/>
    <w:qFormat/>
    <w:uiPriority w:val="0"/>
    <w:pPr>
      <w:keepNext/>
      <w:keepLines/>
      <w:outlineLvl w:val="2"/>
    </w:pPr>
    <w:rPr>
      <w:rFonts w:ascii="Times New Roman" w:hAnsi="Times New Roman" w:eastAsia="黑体"/>
      <w:sz w:val="28"/>
      <w:szCs w:val="22"/>
    </w:rPr>
  </w:style>
  <w:style w:type="paragraph" w:styleId="5">
    <w:name w:val="heading 4"/>
    <w:basedOn w:val="1"/>
    <w:next w:val="1"/>
    <w:link w:val="11"/>
    <w:unhideWhenUsed/>
    <w:qFormat/>
    <w:uiPriority w:val="0"/>
    <w:pPr>
      <w:keepNext/>
      <w:keepLines/>
      <w:spacing w:before="40" w:beforeLines="0" w:beforeAutospacing="0" w:after="50" w:afterLines="0" w:afterAutospacing="0" w:line="240" w:lineRule="auto"/>
      <w:outlineLvl w:val="3"/>
    </w:pPr>
    <w:rPr>
      <w:rFonts w:ascii="Arial" w:hAnsi="Arial" w:eastAsia="黑体"/>
      <w:sz w:val="28"/>
      <w:szCs w:val="22"/>
    </w:rPr>
  </w:style>
  <w:style w:type="character" w:default="1" w:styleId="8">
    <w:name w:val="Default Paragraph Font"/>
    <w:unhideWhenUsed/>
    <w:qFormat/>
    <w:uiPriority w:val="1"/>
  </w:style>
  <w:style w:type="table" w:default="1" w:styleId="9">
    <w:name w:val="Normal Table"/>
    <w:semiHidden/>
    <w:qFormat/>
    <w:uiPriority w:val="0"/>
    <w:tblPr>
      <w:tblStyle w:val="9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Normal (Web)"/>
    <w:basedOn w:val="1"/>
    <w:unhideWhenUsed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  <w:style w:type="paragraph" w:customStyle="1" w:styleId="10">
    <w:name w:val="标题3"/>
    <w:basedOn w:val="4"/>
    <w:link w:val="14"/>
    <w:qFormat/>
    <w:uiPriority w:val="0"/>
    <w:rPr>
      <w:rFonts w:ascii="Times New Roman" w:hAnsi="Times New Roman"/>
      <w:sz w:val="28"/>
    </w:rPr>
  </w:style>
  <w:style w:type="character" w:customStyle="1" w:styleId="11">
    <w:name w:val="标题 4 Char"/>
    <w:link w:val="5"/>
    <w:qFormat/>
    <w:uiPriority w:val="0"/>
    <w:rPr>
      <w:rFonts w:ascii="Arial" w:hAnsi="Arial" w:eastAsia="黑体"/>
      <w:sz w:val="28"/>
      <w:szCs w:val="22"/>
    </w:rPr>
  </w:style>
  <w:style w:type="character" w:customStyle="1" w:styleId="12">
    <w:name w:val="标题 1 字符"/>
    <w:basedOn w:val="8"/>
    <w:link w:val="2"/>
    <w:qFormat/>
    <w:uiPriority w:val="9"/>
    <w:rPr>
      <w:rFonts w:ascii="Times New Roman" w:hAnsi="Times New Roman" w:eastAsia="黑体" w:cs="黑体"/>
      <w:bCs/>
      <w:kern w:val="44"/>
      <w:sz w:val="32"/>
      <w:szCs w:val="44"/>
    </w:rPr>
  </w:style>
  <w:style w:type="character" w:customStyle="1" w:styleId="13">
    <w:name w:val="标题 3 字符"/>
    <w:link w:val="4"/>
    <w:qFormat/>
    <w:uiPriority w:val="0"/>
    <w:rPr>
      <w:rFonts w:ascii="Times New Roman" w:hAnsi="Times New Roman" w:eastAsia="黑体" w:cs="黑体"/>
      <w:kern w:val="2"/>
      <w:sz w:val="28"/>
      <w:szCs w:val="22"/>
    </w:rPr>
  </w:style>
  <w:style w:type="character" w:customStyle="1" w:styleId="14">
    <w:name w:val="标题3 字符"/>
    <w:basedOn w:val="15"/>
    <w:link w:val="10"/>
    <w:qFormat/>
    <w:uiPriority w:val="0"/>
    <w:rPr>
      <w:rFonts w:ascii="Times New Roman" w:hAnsi="Times New Roman" w:eastAsia="黑体" w:cs="黑体"/>
      <w:kern w:val="2"/>
      <w:sz w:val="28"/>
      <w:szCs w:val="22"/>
    </w:rPr>
  </w:style>
  <w:style w:type="character" w:customStyle="1" w:styleId="15">
    <w:name w:val="标题 3 字符1"/>
    <w:basedOn w:val="8"/>
    <w:link w:val="4"/>
    <w:semiHidden/>
    <w:qFormat/>
    <w:uiPriority w:val="0"/>
    <w:rPr>
      <w:rFonts w:ascii="Times New Roman" w:hAnsi="Times New Roman" w:eastAsia="黑体" w:cs="黑体"/>
      <w:kern w:val="2"/>
      <w:sz w:val="30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专业版_9.1.0.5343_F1E327BC-269C-435d-A152-05C5408002CA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2024-01-04T19:55:00Z</dcterms:created>
  <dc:creator>孤独的棉花精</dc:creator>
  <cp:lastModifiedBy>tht</cp:lastModifiedBy>
  <cp:lastPrinted>2024-01-09T02:44:58Z</cp:lastPrinted>
  <dcterms:modified xsi:type="dcterms:W3CDTF">2024-01-09T03:15:43Z</dcterms:modified>
  <dc:title>杭州市余杭区行政审批服务管理办公室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2052-9.1.0.5343</vt:lpwstr>
  </property>
  <property fmtid="{D5CDD505-2E9C-101B-9397-08002B2CF9AE}" pid="3" name="ICV">
    <vt:lpwstr>AEE0C7598E3C4A7082FBA97A0BAAA2B4_11</vt:lpwstr>
  </property>
</Properties>
</file>