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590" w:lineRule="exact"/>
        <w:ind w:firstLine="0" w:firstLineChars="0"/>
        <w:jc w:val="both"/>
        <w:rPr>
          <w:b/>
          <w:sz w:val="52"/>
          <w:szCs w:val="52"/>
        </w:rPr>
      </w:pPr>
      <w:r>
        <w:rPr>
          <w:rFonts w:eastAsia="黑体"/>
          <w:szCs w:val="32"/>
        </w:rPr>
        <w:t xml:space="preserve">                               </w:t>
      </w:r>
    </w:p>
    <w:p>
      <w:pPr>
        <w:ind w:firstLine="1044"/>
        <w:jc w:val="center"/>
        <w:rPr>
          <w:b/>
          <w:sz w:val="52"/>
          <w:szCs w:val="52"/>
        </w:rPr>
      </w:pPr>
    </w:p>
    <w:p>
      <w:pPr>
        <w:ind w:firstLine="1044"/>
        <w:jc w:val="center"/>
        <w:rPr>
          <w:b/>
          <w:sz w:val="52"/>
          <w:szCs w:val="52"/>
        </w:rPr>
      </w:pPr>
    </w:p>
    <w:p>
      <w:pPr>
        <w:ind w:firstLine="1044"/>
        <w:jc w:val="center"/>
        <w:rPr>
          <w:b/>
          <w:sz w:val="52"/>
          <w:szCs w:val="52"/>
        </w:rPr>
      </w:pPr>
    </w:p>
    <w:p>
      <w:pPr>
        <w:adjustRightInd w:val="0"/>
        <w:snapToGrid w:val="0"/>
        <w:spacing w:line="240" w:lineRule="auto"/>
        <w:ind w:firstLine="0" w:firstLineChars="0"/>
        <w:jc w:val="center"/>
        <w:rPr>
          <w:rFonts w:eastAsia="方正小标宋_GBK"/>
          <w:color w:val="000000"/>
          <w:sz w:val="48"/>
          <w:szCs w:val="48"/>
        </w:rPr>
      </w:pPr>
      <w:bookmarkStart w:id="108" w:name="_GoBack"/>
      <w:r>
        <w:rPr>
          <w:rFonts w:eastAsia="方正小标宋_GBK"/>
          <w:color w:val="000000"/>
          <w:sz w:val="48"/>
          <w:szCs w:val="48"/>
        </w:rPr>
        <w:t>余杭区“十四五”制造业高质量</w:t>
      </w:r>
    </w:p>
    <w:p>
      <w:pPr>
        <w:adjustRightInd w:val="0"/>
        <w:snapToGrid w:val="0"/>
        <w:spacing w:line="240" w:lineRule="auto"/>
        <w:ind w:firstLine="0" w:firstLineChars="0"/>
        <w:jc w:val="center"/>
        <w:rPr>
          <w:rFonts w:eastAsia="方正小标宋简体"/>
          <w:bCs/>
          <w:sz w:val="48"/>
          <w:szCs w:val="48"/>
        </w:rPr>
      </w:pPr>
      <w:r>
        <w:rPr>
          <w:rFonts w:eastAsia="方正小标宋_GBK"/>
          <w:color w:val="000000"/>
          <w:sz w:val="48"/>
          <w:szCs w:val="48"/>
        </w:rPr>
        <w:t>发展规划</w:t>
      </w:r>
    </w:p>
    <w:bookmarkEnd w:id="108"/>
    <w:p>
      <w:pPr>
        <w:ind w:firstLine="0" w:firstLineChars="0"/>
        <w:jc w:val="center"/>
        <w:rPr>
          <w:rFonts w:eastAsia="黑体"/>
          <w:sz w:val="36"/>
          <w:szCs w:val="32"/>
        </w:rPr>
      </w:pPr>
    </w:p>
    <w:p>
      <w:pPr>
        <w:ind w:firstLine="0" w:firstLineChars="0"/>
        <w:jc w:val="center"/>
        <w:rPr>
          <w:rFonts w:eastAsia="黑体"/>
          <w:sz w:val="36"/>
          <w:szCs w:val="32"/>
        </w:rPr>
      </w:pPr>
    </w:p>
    <w:p>
      <w:pPr>
        <w:ind w:firstLine="0" w:firstLineChars="0"/>
        <w:jc w:val="center"/>
        <w:rPr>
          <w:rFonts w:eastAsia="黑体"/>
          <w:sz w:val="36"/>
          <w:szCs w:val="32"/>
        </w:rPr>
      </w:pPr>
    </w:p>
    <w:p>
      <w:pPr>
        <w:ind w:firstLine="0" w:firstLineChars="0"/>
        <w:jc w:val="center"/>
        <w:rPr>
          <w:rFonts w:eastAsia="黑体"/>
          <w:sz w:val="36"/>
          <w:szCs w:val="32"/>
        </w:rPr>
      </w:pPr>
    </w:p>
    <w:p>
      <w:pPr>
        <w:ind w:firstLine="0" w:firstLineChars="0"/>
        <w:jc w:val="center"/>
        <w:rPr>
          <w:rFonts w:eastAsia="黑体"/>
          <w:sz w:val="36"/>
          <w:szCs w:val="32"/>
        </w:rPr>
      </w:pPr>
    </w:p>
    <w:p>
      <w:pPr>
        <w:ind w:firstLine="0" w:firstLineChars="0"/>
        <w:jc w:val="center"/>
        <w:rPr>
          <w:rFonts w:eastAsia="黑体"/>
          <w:sz w:val="36"/>
          <w:szCs w:val="32"/>
        </w:rPr>
      </w:pPr>
    </w:p>
    <w:p>
      <w:pPr>
        <w:ind w:firstLine="0" w:firstLineChars="0"/>
        <w:jc w:val="center"/>
      </w:pPr>
    </w:p>
    <w:p>
      <w:pPr>
        <w:ind w:firstLine="0" w:firstLineChars="0"/>
        <w:jc w:val="center"/>
        <w:rPr>
          <w:rFonts w:eastAsia="黑体"/>
          <w:sz w:val="36"/>
          <w:szCs w:val="32"/>
        </w:rPr>
      </w:pPr>
    </w:p>
    <w:p>
      <w:pPr>
        <w:ind w:firstLine="0" w:firstLineChars="0"/>
        <w:jc w:val="center"/>
        <w:rPr>
          <w:rFonts w:eastAsia="黑体"/>
          <w:sz w:val="36"/>
          <w:szCs w:val="32"/>
        </w:rPr>
      </w:pPr>
    </w:p>
    <w:p>
      <w:pPr>
        <w:pStyle w:val="12"/>
        <w:spacing w:line="590" w:lineRule="exact"/>
        <w:ind w:firstLine="0" w:firstLineChars="0"/>
        <w:jc w:val="center"/>
        <w:rPr>
          <w:rFonts w:eastAsia="楷体_GB2312"/>
          <w:spacing w:val="-6"/>
          <w:szCs w:val="32"/>
        </w:rPr>
        <w:sectPr>
          <w:headerReference r:id="rId6" w:type="first"/>
          <w:footerReference r:id="rId8" w:type="first"/>
          <w:headerReference r:id="rId5" w:type="default"/>
          <w:footerReference r:id="rId7" w:type="default"/>
          <w:pgSz w:w="11906" w:h="16838"/>
          <w:pgMar w:top="2098" w:right="1474" w:bottom="1984" w:left="1587" w:header="851" w:footer="992" w:gutter="0"/>
          <w:pgNumType w:fmt="numberInDash" w:start="1"/>
          <w:cols w:space="720" w:num="1"/>
          <w:titlePg/>
          <w:docGrid w:type="lines" w:linePitch="435" w:charSpace="0"/>
        </w:sectPr>
      </w:pPr>
    </w:p>
    <w:p>
      <w:pPr>
        <w:ind w:firstLine="640"/>
        <w:jc w:val="center"/>
        <w:rPr>
          <w:rFonts w:eastAsia="黑体"/>
          <w:szCs w:val="32"/>
        </w:rPr>
      </w:pPr>
      <w:bookmarkStart w:id="0" w:name="_Toc53403225"/>
      <w:bookmarkStart w:id="1" w:name="_Toc50385793"/>
      <w:r>
        <w:rPr>
          <w:rFonts w:eastAsia="黑体"/>
          <w:szCs w:val="32"/>
        </w:rPr>
        <w:t>目  录</w:t>
      </w:r>
    </w:p>
    <w:p>
      <w:pPr>
        <w:pStyle w:val="20"/>
        <w:jc w:val="right"/>
        <w:rPr>
          <w:rFonts w:hint="eastAsia" w:ascii="仿宋_GB2312" w:hAnsi="Calibri" w:cs="黑体"/>
          <w:b w:val="0"/>
          <w:bCs w:val="0"/>
          <w:sz w:val="28"/>
          <w:szCs w:val="28"/>
        </w:rPr>
      </w:pPr>
      <w:r>
        <w:fldChar w:fldCharType="begin"/>
      </w:r>
      <w:r>
        <w:instrText xml:space="preserve">TOC \z \o "1-2" \u \h</w:instrText>
      </w:r>
      <w:r>
        <w:fldChar w:fldCharType="separate"/>
      </w:r>
    </w:p>
    <w:p>
      <w:pPr>
        <w:pStyle w:val="20"/>
        <w:jc w:val="right"/>
        <w:rPr>
          <w:rFonts w:hint="eastAsia" w:ascii="仿宋_GB2312" w:hAnsi="Calibri" w:cs="黑体"/>
          <w:b w:val="0"/>
          <w:bCs w:val="0"/>
          <w:sz w:val="28"/>
          <w:szCs w:val="28"/>
        </w:rPr>
      </w:pPr>
      <w:r>
        <w:fldChar w:fldCharType="begin"/>
      </w:r>
      <w:r>
        <w:instrText xml:space="preserve">HYPERLINK  \l "_Toc94109595" </w:instrText>
      </w:r>
      <w:r>
        <w:fldChar w:fldCharType="separate"/>
      </w:r>
      <w:r>
        <w:rPr>
          <w:rStyle w:val="32"/>
          <w:rFonts w:hint="eastAsia" w:ascii="仿宋_GB2312"/>
          <w:sz w:val="28"/>
          <w:szCs w:val="28"/>
        </w:rPr>
        <w:t>一、现实基础和面临形势</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_Toc94109595 \h </w:instrText>
      </w:r>
      <w:r>
        <w:rPr>
          <w:rFonts w:hint="eastAsia" w:ascii="仿宋_GB2312"/>
          <w:sz w:val="28"/>
          <w:szCs w:val="28"/>
        </w:rPr>
        <w:fldChar w:fldCharType="separate"/>
      </w:r>
      <w:r>
        <w:rPr>
          <w:rFonts w:ascii="仿宋_GB2312"/>
          <w:sz w:val="28"/>
          <w:szCs w:val="28"/>
        </w:rPr>
        <w:t>- 1 -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"_Toc94109596" </w:instrText>
      </w:r>
      <w:r>
        <w:fldChar w:fldCharType="separate"/>
      </w:r>
      <w:r>
        <w:rPr>
          <w:rStyle w:val="32"/>
          <w:rFonts w:hint="eastAsia" w:ascii="仿宋_GB2312"/>
          <w:bCs/>
          <w:sz w:val="28"/>
          <w:szCs w:val="28"/>
        </w:rPr>
        <w:t>（一）发展成就</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_Toc94109596 \h </w:instrText>
      </w:r>
      <w:r>
        <w:rPr>
          <w:rFonts w:hint="eastAsia" w:ascii="仿宋_GB2312"/>
          <w:sz w:val="28"/>
          <w:szCs w:val="28"/>
        </w:rPr>
        <w:fldChar w:fldCharType="separate"/>
      </w:r>
      <w:r>
        <w:rPr>
          <w:rFonts w:ascii="仿宋_GB2312"/>
          <w:sz w:val="28"/>
          <w:szCs w:val="28"/>
        </w:rPr>
        <w:t>- 1 -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"_Toc94109597" </w:instrText>
      </w:r>
      <w:r>
        <w:fldChar w:fldCharType="separate"/>
      </w:r>
      <w:r>
        <w:rPr>
          <w:rStyle w:val="32"/>
          <w:rFonts w:hint="eastAsia" w:ascii="仿宋_GB2312"/>
          <w:bCs/>
          <w:sz w:val="28"/>
          <w:szCs w:val="28"/>
        </w:rPr>
        <w:t>（二）存在问题</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_Toc94109597 \h </w:instrText>
      </w:r>
      <w:r>
        <w:rPr>
          <w:rFonts w:hint="eastAsia" w:ascii="仿宋_GB2312"/>
          <w:sz w:val="28"/>
          <w:szCs w:val="28"/>
        </w:rPr>
        <w:fldChar w:fldCharType="separate"/>
      </w:r>
      <w:r>
        <w:rPr>
          <w:rFonts w:ascii="仿宋_GB2312"/>
          <w:sz w:val="28"/>
          <w:szCs w:val="28"/>
        </w:rPr>
        <w:t>- 4 -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"_Toc94109598" </w:instrText>
      </w:r>
      <w:r>
        <w:fldChar w:fldCharType="separate"/>
      </w:r>
      <w:r>
        <w:rPr>
          <w:rStyle w:val="32"/>
          <w:rFonts w:hint="eastAsia" w:ascii="仿宋_GB2312"/>
          <w:bCs/>
          <w:sz w:val="28"/>
          <w:szCs w:val="28"/>
        </w:rPr>
        <w:t>（三）面临形势</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_Toc94109598 \h </w:instrText>
      </w:r>
      <w:r>
        <w:rPr>
          <w:rFonts w:hint="eastAsia" w:ascii="仿宋_GB2312"/>
          <w:sz w:val="28"/>
          <w:szCs w:val="28"/>
        </w:rPr>
        <w:fldChar w:fldCharType="separate"/>
      </w:r>
      <w:r>
        <w:rPr>
          <w:rFonts w:ascii="仿宋_GB2312"/>
          <w:sz w:val="28"/>
          <w:szCs w:val="28"/>
        </w:rPr>
        <w:t>- 6 -</w:t>
      </w:r>
      <w:r>
        <w:rPr>
          <w:rFonts w:hint="eastAsia" w:ascii="仿宋_GB2312"/>
          <w:sz w:val="28"/>
          <w:szCs w:val="28"/>
        </w:rPr>
        <w:fldChar w:fldCharType="end"/>
      </w:r>
      <w:r>
        <w:fldChar w:fldCharType="end"/>
      </w:r>
    </w:p>
    <w:p>
      <w:pPr>
        <w:pStyle w:val="20"/>
        <w:jc w:val="right"/>
        <w:rPr>
          <w:rFonts w:hint="eastAsia" w:ascii="仿宋_GB2312" w:hAnsi="Calibri" w:cs="黑体"/>
          <w:b w:val="0"/>
          <w:bCs w:val="0"/>
          <w:sz w:val="28"/>
          <w:szCs w:val="28"/>
        </w:rPr>
      </w:pPr>
      <w:r>
        <w:fldChar w:fldCharType="begin"/>
      </w:r>
      <w:r>
        <w:instrText xml:space="preserve">HYPERLINK  \l "_Toc94109599" </w:instrText>
      </w:r>
      <w:r>
        <w:fldChar w:fldCharType="separate"/>
      </w:r>
      <w:r>
        <w:rPr>
          <w:rStyle w:val="32"/>
          <w:rFonts w:hint="eastAsia" w:ascii="仿宋_GB2312"/>
          <w:sz w:val="28"/>
          <w:szCs w:val="28"/>
        </w:rPr>
        <w:t>二、总体思路</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_Toc94109599 \h </w:instrText>
      </w:r>
      <w:r>
        <w:rPr>
          <w:rFonts w:hint="eastAsia" w:ascii="仿宋_GB2312"/>
          <w:sz w:val="28"/>
          <w:szCs w:val="28"/>
        </w:rPr>
        <w:fldChar w:fldCharType="separate"/>
      </w:r>
      <w:r>
        <w:rPr>
          <w:rFonts w:ascii="仿宋_GB2312"/>
          <w:sz w:val="28"/>
          <w:szCs w:val="28"/>
        </w:rPr>
        <w:t>- 9 -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"_Toc94109600" </w:instrText>
      </w:r>
      <w:r>
        <w:fldChar w:fldCharType="separate"/>
      </w:r>
      <w:r>
        <w:rPr>
          <w:rStyle w:val="32"/>
          <w:rFonts w:hint="eastAsia" w:ascii="仿宋_GB2312"/>
          <w:bCs/>
          <w:sz w:val="28"/>
          <w:szCs w:val="28"/>
        </w:rPr>
        <w:t>（一）指导思想</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_Toc94109600 \h </w:instrText>
      </w:r>
      <w:r>
        <w:rPr>
          <w:rFonts w:hint="eastAsia" w:ascii="仿宋_GB2312"/>
          <w:sz w:val="28"/>
          <w:szCs w:val="28"/>
        </w:rPr>
        <w:fldChar w:fldCharType="separate"/>
      </w:r>
      <w:r>
        <w:rPr>
          <w:rFonts w:ascii="仿宋_GB2312"/>
          <w:sz w:val="28"/>
          <w:szCs w:val="28"/>
        </w:rPr>
        <w:t>- 9 -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"_Toc94109601" </w:instrText>
      </w:r>
      <w:r>
        <w:fldChar w:fldCharType="separate"/>
      </w:r>
      <w:r>
        <w:rPr>
          <w:rStyle w:val="32"/>
          <w:rFonts w:hint="eastAsia" w:ascii="仿宋_GB2312"/>
          <w:bCs/>
          <w:sz w:val="28"/>
          <w:szCs w:val="28"/>
        </w:rPr>
        <w:t>（二）发展定位</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_Toc94109601 \h </w:instrText>
      </w:r>
      <w:r>
        <w:rPr>
          <w:rFonts w:hint="eastAsia" w:ascii="仿宋_GB2312"/>
          <w:sz w:val="28"/>
          <w:szCs w:val="28"/>
        </w:rPr>
        <w:fldChar w:fldCharType="separate"/>
      </w:r>
      <w:r>
        <w:rPr>
          <w:rFonts w:ascii="仿宋_GB2312"/>
          <w:sz w:val="28"/>
          <w:szCs w:val="28"/>
        </w:rPr>
        <w:t>- 9 -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"_Toc94109602" </w:instrText>
      </w:r>
      <w:r>
        <w:fldChar w:fldCharType="separate"/>
      </w:r>
      <w:r>
        <w:rPr>
          <w:rStyle w:val="32"/>
          <w:rFonts w:hint="eastAsia" w:ascii="仿宋_GB2312"/>
          <w:bCs/>
          <w:sz w:val="28"/>
          <w:szCs w:val="28"/>
        </w:rPr>
        <w:t>（三）具体目标</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_Toc94109602 \h </w:instrText>
      </w:r>
      <w:r>
        <w:rPr>
          <w:rFonts w:hint="eastAsia" w:ascii="仿宋_GB2312"/>
          <w:sz w:val="28"/>
          <w:szCs w:val="28"/>
        </w:rPr>
        <w:fldChar w:fldCharType="separate"/>
      </w:r>
      <w:r>
        <w:rPr>
          <w:rFonts w:ascii="仿宋_GB2312"/>
          <w:sz w:val="28"/>
          <w:szCs w:val="28"/>
        </w:rPr>
        <w:t>- 10 -</w:t>
      </w:r>
      <w:r>
        <w:rPr>
          <w:rFonts w:hint="eastAsia" w:ascii="仿宋_GB2312"/>
          <w:sz w:val="28"/>
          <w:szCs w:val="28"/>
        </w:rPr>
        <w:fldChar w:fldCharType="end"/>
      </w:r>
      <w:r>
        <w:fldChar w:fldCharType="end"/>
      </w:r>
    </w:p>
    <w:p>
      <w:pPr>
        <w:pStyle w:val="20"/>
        <w:jc w:val="right"/>
        <w:rPr>
          <w:rFonts w:hint="eastAsia" w:ascii="仿宋_GB2312" w:hAnsi="Calibri" w:cs="黑体"/>
          <w:b w:val="0"/>
          <w:bCs w:val="0"/>
          <w:sz w:val="28"/>
          <w:szCs w:val="28"/>
        </w:rPr>
      </w:pPr>
      <w:r>
        <w:fldChar w:fldCharType="begin"/>
      </w:r>
      <w:r>
        <w:instrText xml:space="preserve">HYPERLINK  \l "_Toc94109603" </w:instrText>
      </w:r>
      <w:r>
        <w:fldChar w:fldCharType="separate"/>
      </w:r>
      <w:r>
        <w:rPr>
          <w:rStyle w:val="32"/>
          <w:rFonts w:hint="eastAsia" w:ascii="仿宋_GB2312"/>
          <w:sz w:val="28"/>
          <w:szCs w:val="28"/>
        </w:rPr>
        <w:t>三、重点领域</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_Toc94109603 \h </w:instrText>
      </w:r>
      <w:r>
        <w:rPr>
          <w:rFonts w:hint="eastAsia" w:ascii="仿宋_GB2312"/>
          <w:sz w:val="28"/>
          <w:szCs w:val="28"/>
        </w:rPr>
        <w:fldChar w:fldCharType="separate"/>
      </w:r>
      <w:r>
        <w:rPr>
          <w:rFonts w:ascii="仿宋_GB2312"/>
          <w:sz w:val="28"/>
          <w:szCs w:val="28"/>
        </w:rPr>
        <w:t>- 12 -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"_Toc94109604" </w:instrText>
      </w:r>
      <w:r>
        <w:fldChar w:fldCharType="separate"/>
      </w:r>
      <w:r>
        <w:rPr>
          <w:rStyle w:val="32"/>
          <w:rFonts w:hint="eastAsia" w:ascii="仿宋_GB2312"/>
          <w:bCs/>
          <w:sz w:val="28"/>
          <w:szCs w:val="28"/>
        </w:rPr>
        <w:t>（一）重点发展四大新兴产业领域</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_Toc94109604 \h </w:instrText>
      </w:r>
      <w:r>
        <w:rPr>
          <w:rFonts w:hint="eastAsia" w:ascii="仿宋_GB2312"/>
          <w:sz w:val="28"/>
          <w:szCs w:val="28"/>
        </w:rPr>
        <w:fldChar w:fldCharType="separate"/>
      </w:r>
      <w:r>
        <w:rPr>
          <w:rFonts w:ascii="仿宋_GB2312"/>
          <w:sz w:val="28"/>
          <w:szCs w:val="28"/>
        </w:rPr>
        <w:t>- 12 -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"_Toc94109605" </w:instrText>
      </w:r>
      <w:r>
        <w:fldChar w:fldCharType="separate"/>
      </w:r>
      <w:r>
        <w:rPr>
          <w:rStyle w:val="32"/>
          <w:rFonts w:hint="eastAsia" w:ascii="仿宋_GB2312"/>
          <w:bCs/>
          <w:sz w:val="28"/>
          <w:szCs w:val="28"/>
        </w:rPr>
        <w:t>（二）推动优势传统产业改造提升</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_Toc94109605 \h </w:instrText>
      </w:r>
      <w:r>
        <w:rPr>
          <w:rFonts w:hint="eastAsia" w:ascii="仿宋_GB2312"/>
          <w:sz w:val="28"/>
          <w:szCs w:val="28"/>
        </w:rPr>
        <w:fldChar w:fldCharType="separate"/>
      </w:r>
      <w:r>
        <w:rPr>
          <w:rFonts w:ascii="仿宋_GB2312"/>
          <w:sz w:val="28"/>
          <w:szCs w:val="28"/>
        </w:rPr>
        <w:t>- 18 -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"_Toc94109606" </w:instrText>
      </w:r>
      <w:r>
        <w:fldChar w:fldCharType="separate"/>
      </w:r>
      <w:r>
        <w:rPr>
          <w:rStyle w:val="32"/>
          <w:rFonts w:hint="eastAsia" w:ascii="仿宋_GB2312"/>
          <w:bCs/>
          <w:sz w:val="28"/>
          <w:szCs w:val="28"/>
        </w:rPr>
        <w:t>（三）积极谋划未来产业领域</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_Toc94109606 \h </w:instrText>
      </w:r>
      <w:r>
        <w:rPr>
          <w:rFonts w:hint="eastAsia" w:ascii="仿宋_GB2312"/>
          <w:sz w:val="28"/>
          <w:szCs w:val="28"/>
        </w:rPr>
        <w:fldChar w:fldCharType="separate"/>
      </w:r>
      <w:r>
        <w:rPr>
          <w:rFonts w:ascii="仿宋_GB2312"/>
          <w:sz w:val="28"/>
          <w:szCs w:val="28"/>
        </w:rPr>
        <w:t>- 19 -</w:t>
      </w:r>
      <w:r>
        <w:rPr>
          <w:rFonts w:hint="eastAsia" w:ascii="仿宋_GB2312"/>
          <w:sz w:val="28"/>
          <w:szCs w:val="28"/>
        </w:rPr>
        <w:fldChar w:fldCharType="end"/>
      </w:r>
      <w:r>
        <w:fldChar w:fldCharType="end"/>
      </w:r>
    </w:p>
    <w:p>
      <w:pPr>
        <w:pStyle w:val="20"/>
        <w:jc w:val="right"/>
        <w:rPr>
          <w:rFonts w:hint="eastAsia" w:ascii="仿宋_GB2312" w:hAnsi="Calibri" w:cs="黑体"/>
          <w:b w:val="0"/>
          <w:bCs w:val="0"/>
          <w:sz w:val="28"/>
          <w:szCs w:val="28"/>
        </w:rPr>
      </w:pPr>
      <w:r>
        <w:fldChar w:fldCharType="begin"/>
      </w:r>
      <w:r>
        <w:instrText xml:space="preserve">HYPERLINK  \l "_Toc94109607" </w:instrText>
      </w:r>
      <w:r>
        <w:fldChar w:fldCharType="separate"/>
      </w:r>
      <w:r>
        <w:rPr>
          <w:rStyle w:val="32"/>
          <w:rFonts w:hint="eastAsia" w:ascii="仿宋_GB2312"/>
          <w:sz w:val="28"/>
          <w:szCs w:val="28"/>
        </w:rPr>
        <w:t>四、空间布局</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_Toc94109607 \h </w:instrText>
      </w:r>
      <w:r>
        <w:rPr>
          <w:rFonts w:hint="eastAsia" w:ascii="仿宋_GB2312"/>
          <w:sz w:val="28"/>
          <w:szCs w:val="28"/>
        </w:rPr>
        <w:fldChar w:fldCharType="separate"/>
      </w:r>
      <w:r>
        <w:rPr>
          <w:rFonts w:ascii="仿宋_GB2312"/>
          <w:sz w:val="28"/>
          <w:szCs w:val="28"/>
        </w:rPr>
        <w:t>- 22 -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"_Toc94109608" </w:instrText>
      </w:r>
      <w:r>
        <w:fldChar w:fldCharType="separate"/>
      </w:r>
      <w:r>
        <w:rPr>
          <w:rStyle w:val="32"/>
          <w:rFonts w:hint="eastAsia" w:ascii="仿宋_GB2312"/>
          <w:bCs/>
          <w:sz w:val="28"/>
          <w:szCs w:val="28"/>
        </w:rPr>
        <w:t>（一）构筑三大产业主平台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_Toc94109608 \h </w:instrText>
      </w:r>
      <w:r>
        <w:rPr>
          <w:rFonts w:hint="eastAsia" w:ascii="仿宋_GB2312"/>
          <w:sz w:val="28"/>
          <w:szCs w:val="28"/>
        </w:rPr>
        <w:fldChar w:fldCharType="separate"/>
      </w:r>
      <w:r>
        <w:rPr>
          <w:rFonts w:ascii="仿宋_GB2312"/>
          <w:sz w:val="28"/>
          <w:szCs w:val="28"/>
        </w:rPr>
        <w:t>- 22 -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"_Toc94109609" </w:instrText>
      </w:r>
      <w:r>
        <w:fldChar w:fldCharType="separate"/>
      </w:r>
      <w:r>
        <w:rPr>
          <w:rStyle w:val="32"/>
          <w:rFonts w:hint="eastAsia" w:ascii="仿宋_GB2312"/>
          <w:bCs/>
          <w:sz w:val="28"/>
          <w:szCs w:val="28"/>
        </w:rPr>
        <w:t>（二）打造产业空间协同发展新亮点</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_Toc94109609 \h </w:instrText>
      </w:r>
      <w:r>
        <w:rPr>
          <w:rFonts w:hint="eastAsia" w:ascii="仿宋_GB2312"/>
          <w:sz w:val="28"/>
          <w:szCs w:val="28"/>
        </w:rPr>
        <w:fldChar w:fldCharType="separate"/>
      </w:r>
      <w:r>
        <w:rPr>
          <w:rFonts w:ascii="仿宋_GB2312"/>
          <w:sz w:val="28"/>
          <w:szCs w:val="28"/>
        </w:rPr>
        <w:t>- 24 -</w:t>
      </w:r>
      <w:r>
        <w:rPr>
          <w:rFonts w:hint="eastAsia" w:ascii="仿宋_GB2312"/>
          <w:sz w:val="28"/>
          <w:szCs w:val="28"/>
        </w:rPr>
        <w:fldChar w:fldCharType="end"/>
      </w:r>
      <w:r>
        <w:fldChar w:fldCharType="end"/>
      </w:r>
    </w:p>
    <w:p>
      <w:pPr>
        <w:pStyle w:val="20"/>
        <w:jc w:val="right"/>
        <w:rPr>
          <w:rFonts w:hint="eastAsia" w:ascii="仿宋_GB2312" w:hAnsi="Calibri" w:cs="黑体"/>
          <w:b w:val="0"/>
          <w:bCs w:val="0"/>
          <w:sz w:val="28"/>
          <w:szCs w:val="28"/>
        </w:rPr>
      </w:pPr>
      <w:r>
        <w:fldChar w:fldCharType="begin"/>
      </w:r>
      <w:r>
        <w:instrText xml:space="preserve">HYPERLINK  \l "_Toc94109610" </w:instrText>
      </w:r>
      <w:r>
        <w:fldChar w:fldCharType="separate"/>
      </w:r>
      <w:r>
        <w:rPr>
          <w:rStyle w:val="32"/>
          <w:rFonts w:hint="eastAsia" w:ascii="仿宋_GB2312"/>
          <w:sz w:val="28"/>
          <w:szCs w:val="28"/>
        </w:rPr>
        <w:t>五、主要任务</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_Toc94109610 \h </w:instrText>
      </w:r>
      <w:r>
        <w:rPr>
          <w:rFonts w:hint="eastAsia" w:ascii="仿宋_GB2312"/>
          <w:sz w:val="28"/>
          <w:szCs w:val="28"/>
        </w:rPr>
        <w:fldChar w:fldCharType="separate"/>
      </w:r>
      <w:r>
        <w:rPr>
          <w:rFonts w:ascii="仿宋_GB2312"/>
          <w:sz w:val="28"/>
          <w:szCs w:val="28"/>
        </w:rPr>
        <w:t>- 28 -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"_Toc94109611" </w:instrText>
      </w:r>
      <w:r>
        <w:fldChar w:fldCharType="separate"/>
      </w:r>
      <w:r>
        <w:rPr>
          <w:rStyle w:val="32"/>
          <w:rFonts w:hint="eastAsia" w:ascii="仿宋_GB2312"/>
          <w:bCs/>
          <w:sz w:val="28"/>
          <w:szCs w:val="28"/>
        </w:rPr>
        <w:t>（一）强化科技创新驱动，打造产业创新策源地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_Toc94109611 \h </w:instrText>
      </w:r>
      <w:r>
        <w:rPr>
          <w:rFonts w:hint="eastAsia" w:ascii="仿宋_GB2312"/>
          <w:sz w:val="28"/>
          <w:szCs w:val="28"/>
        </w:rPr>
        <w:fldChar w:fldCharType="separate"/>
      </w:r>
      <w:r>
        <w:rPr>
          <w:rFonts w:ascii="仿宋_GB2312"/>
          <w:sz w:val="28"/>
          <w:szCs w:val="28"/>
        </w:rPr>
        <w:t>- 28 -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"_Toc94109612" </w:instrText>
      </w:r>
      <w:r>
        <w:fldChar w:fldCharType="separate"/>
      </w:r>
      <w:r>
        <w:rPr>
          <w:rStyle w:val="32"/>
          <w:rFonts w:hint="eastAsia" w:ascii="仿宋_GB2312"/>
          <w:bCs/>
          <w:sz w:val="28"/>
          <w:szCs w:val="28"/>
        </w:rPr>
        <w:t>（二）深化产业基础再造，实施产业链现代化攻坚</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_Toc94109612 \h </w:instrText>
      </w:r>
      <w:r>
        <w:rPr>
          <w:rFonts w:hint="eastAsia" w:ascii="仿宋_GB2312"/>
          <w:sz w:val="28"/>
          <w:szCs w:val="28"/>
        </w:rPr>
        <w:fldChar w:fldCharType="separate"/>
      </w:r>
      <w:r>
        <w:rPr>
          <w:rFonts w:ascii="仿宋_GB2312"/>
          <w:sz w:val="28"/>
          <w:szCs w:val="28"/>
        </w:rPr>
        <w:t>- 29 -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"_Toc94109613" </w:instrText>
      </w:r>
      <w:r>
        <w:fldChar w:fldCharType="separate"/>
      </w:r>
      <w:r>
        <w:rPr>
          <w:rStyle w:val="32"/>
          <w:rFonts w:hint="eastAsia" w:ascii="仿宋_GB2312"/>
          <w:bCs/>
          <w:sz w:val="28"/>
          <w:szCs w:val="28"/>
        </w:rPr>
        <w:t>（三）促进主体队伍壮大，形成“五企培育”新经验</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_Toc94109613 \h </w:instrText>
      </w:r>
      <w:r>
        <w:rPr>
          <w:rFonts w:hint="eastAsia" w:ascii="仿宋_GB2312"/>
          <w:sz w:val="28"/>
          <w:szCs w:val="28"/>
        </w:rPr>
        <w:fldChar w:fldCharType="separate"/>
      </w:r>
      <w:r>
        <w:rPr>
          <w:rFonts w:ascii="仿宋_GB2312"/>
          <w:sz w:val="28"/>
          <w:szCs w:val="28"/>
        </w:rPr>
        <w:t>- 31 -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"_Toc94109614" </w:instrText>
      </w:r>
      <w:r>
        <w:fldChar w:fldCharType="separate"/>
      </w:r>
      <w:r>
        <w:rPr>
          <w:rStyle w:val="32"/>
          <w:rFonts w:hint="eastAsia" w:ascii="仿宋_GB2312"/>
          <w:bCs/>
          <w:sz w:val="28"/>
          <w:szCs w:val="28"/>
        </w:rPr>
        <w:t>（四）加快生产模式变革，深化“新智造”标杆示范</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_Toc94109614 \h </w:instrText>
      </w:r>
      <w:r>
        <w:rPr>
          <w:rFonts w:hint="eastAsia" w:ascii="仿宋_GB2312"/>
          <w:sz w:val="28"/>
          <w:szCs w:val="28"/>
        </w:rPr>
        <w:fldChar w:fldCharType="separate"/>
      </w:r>
      <w:r>
        <w:rPr>
          <w:rFonts w:ascii="仿宋_GB2312"/>
          <w:sz w:val="28"/>
          <w:szCs w:val="28"/>
        </w:rPr>
        <w:t>- 32 -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"_Toc94109615" </w:instrText>
      </w:r>
      <w:r>
        <w:fldChar w:fldCharType="separate"/>
      </w:r>
      <w:r>
        <w:rPr>
          <w:rStyle w:val="32"/>
          <w:rFonts w:hint="eastAsia" w:ascii="仿宋_GB2312"/>
          <w:bCs/>
          <w:sz w:val="28"/>
          <w:szCs w:val="28"/>
        </w:rPr>
        <w:t>（五）推动品质标准升级，助力“双循环”发展格局</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_Toc94109615 \h </w:instrText>
      </w:r>
      <w:r>
        <w:rPr>
          <w:rFonts w:hint="eastAsia" w:ascii="仿宋_GB2312"/>
          <w:sz w:val="28"/>
          <w:szCs w:val="28"/>
        </w:rPr>
        <w:fldChar w:fldCharType="separate"/>
      </w:r>
      <w:r>
        <w:rPr>
          <w:rFonts w:ascii="仿宋_GB2312"/>
          <w:sz w:val="28"/>
          <w:szCs w:val="28"/>
        </w:rPr>
        <w:t>- 35 -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"_Toc94109616" </w:instrText>
      </w:r>
      <w:r>
        <w:fldChar w:fldCharType="separate"/>
      </w:r>
      <w:r>
        <w:rPr>
          <w:rStyle w:val="32"/>
          <w:rFonts w:hint="eastAsia" w:ascii="仿宋_GB2312"/>
          <w:sz w:val="28"/>
          <w:szCs w:val="28"/>
        </w:rPr>
        <w:t>（六）强化高端要素支撑，打造国际一流营商环境</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_Toc94109616 \h </w:instrText>
      </w:r>
      <w:r>
        <w:rPr>
          <w:rFonts w:hint="eastAsia" w:ascii="仿宋_GB2312"/>
          <w:sz w:val="28"/>
          <w:szCs w:val="28"/>
        </w:rPr>
        <w:fldChar w:fldCharType="separate"/>
      </w:r>
      <w:r>
        <w:rPr>
          <w:rFonts w:ascii="仿宋_GB2312"/>
          <w:sz w:val="28"/>
          <w:szCs w:val="28"/>
        </w:rPr>
        <w:t>- 37 -</w:t>
      </w:r>
      <w:r>
        <w:rPr>
          <w:rFonts w:hint="eastAsia" w:ascii="仿宋_GB2312"/>
          <w:sz w:val="28"/>
          <w:szCs w:val="28"/>
        </w:rPr>
        <w:fldChar w:fldCharType="end"/>
      </w:r>
      <w:r>
        <w:fldChar w:fldCharType="end"/>
      </w:r>
    </w:p>
    <w:p>
      <w:pPr>
        <w:pStyle w:val="20"/>
        <w:jc w:val="right"/>
        <w:rPr>
          <w:rFonts w:hint="eastAsia" w:ascii="仿宋_GB2312" w:hAnsi="Calibri" w:cs="黑体"/>
          <w:b w:val="0"/>
          <w:bCs w:val="0"/>
          <w:sz w:val="28"/>
          <w:szCs w:val="28"/>
        </w:rPr>
      </w:pPr>
      <w:r>
        <w:fldChar w:fldCharType="begin"/>
      </w:r>
      <w:r>
        <w:instrText xml:space="preserve">HYPERLINK  \l "_Toc94109617" </w:instrText>
      </w:r>
      <w:r>
        <w:fldChar w:fldCharType="separate"/>
      </w:r>
      <w:r>
        <w:rPr>
          <w:rStyle w:val="32"/>
          <w:rFonts w:hint="eastAsia" w:ascii="仿宋_GB2312"/>
          <w:sz w:val="28"/>
          <w:szCs w:val="28"/>
        </w:rPr>
        <w:t>六、重点工程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_Toc94109617 \h </w:instrText>
      </w:r>
      <w:r>
        <w:rPr>
          <w:rFonts w:hint="eastAsia" w:ascii="仿宋_GB2312"/>
          <w:sz w:val="28"/>
          <w:szCs w:val="28"/>
        </w:rPr>
        <w:fldChar w:fldCharType="separate"/>
      </w:r>
      <w:r>
        <w:rPr>
          <w:rFonts w:ascii="仿宋_GB2312"/>
          <w:sz w:val="28"/>
          <w:szCs w:val="28"/>
        </w:rPr>
        <w:t>- 38 -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"_Toc94109618" </w:instrText>
      </w:r>
      <w:r>
        <w:fldChar w:fldCharType="separate"/>
      </w:r>
      <w:r>
        <w:rPr>
          <w:rStyle w:val="32"/>
          <w:rFonts w:hint="eastAsia" w:ascii="仿宋_GB2312"/>
          <w:sz w:val="28"/>
          <w:szCs w:val="28"/>
        </w:rPr>
        <w:t>（一）创新型产业集群建设工程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_Toc94109618 \h </w:instrText>
      </w:r>
      <w:r>
        <w:rPr>
          <w:rFonts w:hint="eastAsia" w:ascii="仿宋_GB2312"/>
          <w:sz w:val="28"/>
          <w:szCs w:val="28"/>
        </w:rPr>
        <w:fldChar w:fldCharType="separate"/>
      </w:r>
      <w:r>
        <w:rPr>
          <w:rFonts w:ascii="仿宋_GB2312"/>
          <w:sz w:val="28"/>
          <w:szCs w:val="28"/>
        </w:rPr>
        <w:t>- 38 -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"_Toc94109619" </w:instrText>
      </w:r>
      <w:r>
        <w:fldChar w:fldCharType="separate"/>
      </w:r>
      <w:r>
        <w:rPr>
          <w:rStyle w:val="32"/>
          <w:rFonts w:hint="eastAsia" w:ascii="仿宋_GB2312"/>
          <w:sz w:val="28"/>
          <w:szCs w:val="28"/>
        </w:rPr>
        <w:t>（二）未来产业培育工程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_Toc94109619 \h </w:instrText>
      </w:r>
      <w:r>
        <w:rPr>
          <w:rFonts w:hint="eastAsia" w:ascii="仿宋_GB2312"/>
          <w:sz w:val="28"/>
          <w:szCs w:val="28"/>
        </w:rPr>
        <w:fldChar w:fldCharType="separate"/>
      </w:r>
      <w:r>
        <w:rPr>
          <w:rFonts w:ascii="仿宋_GB2312"/>
          <w:sz w:val="28"/>
          <w:szCs w:val="28"/>
        </w:rPr>
        <w:t>- 39 -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"_Toc94109620" </w:instrText>
      </w:r>
      <w:r>
        <w:fldChar w:fldCharType="separate"/>
      </w:r>
      <w:r>
        <w:rPr>
          <w:rStyle w:val="32"/>
          <w:rFonts w:hint="eastAsia" w:ascii="仿宋_GB2312"/>
          <w:sz w:val="28"/>
          <w:szCs w:val="28"/>
        </w:rPr>
        <w:t>（三）有机更新工程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_Toc94109620 \h </w:instrText>
      </w:r>
      <w:r>
        <w:rPr>
          <w:rFonts w:hint="eastAsia" w:ascii="仿宋_GB2312"/>
          <w:sz w:val="28"/>
          <w:szCs w:val="28"/>
        </w:rPr>
        <w:fldChar w:fldCharType="separate"/>
      </w:r>
      <w:r>
        <w:rPr>
          <w:rFonts w:ascii="仿宋_GB2312"/>
          <w:sz w:val="28"/>
          <w:szCs w:val="28"/>
        </w:rPr>
        <w:t>- 38 -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"_Toc94109621" </w:instrText>
      </w:r>
      <w:r>
        <w:fldChar w:fldCharType="separate"/>
      </w:r>
      <w:r>
        <w:rPr>
          <w:rStyle w:val="32"/>
          <w:rFonts w:hint="eastAsia" w:ascii="仿宋_GB2312"/>
          <w:sz w:val="28"/>
          <w:szCs w:val="28"/>
        </w:rPr>
        <w:t>（四）区室创新产业化合作工程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_Toc94109621 \h </w:instrText>
      </w:r>
      <w:r>
        <w:rPr>
          <w:rFonts w:hint="eastAsia" w:ascii="仿宋_GB2312"/>
          <w:sz w:val="28"/>
          <w:szCs w:val="28"/>
        </w:rPr>
        <w:fldChar w:fldCharType="separate"/>
      </w:r>
      <w:r>
        <w:rPr>
          <w:rFonts w:ascii="仿宋_GB2312"/>
          <w:sz w:val="28"/>
          <w:szCs w:val="28"/>
        </w:rPr>
        <w:t>- 40 -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"_Toc94109622" </w:instrText>
      </w:r>
      <w:r>
        <w:fldChar w:fldCharType="separate"/>
      </w:r>
      <w:r>
        <w:rPr>
          <w:rStyle w:val="32"/>
          <w:rFonts w:hint="eastAsia" w:ascii="仿宋_GB2312"/>
          <w:sz w:val="28"/>
          <w:szCs w:val="28"/>
        </w:rPr>
        <w:t>（五）龙头数字总部引育工程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_Toc94109622 \h </w:instrText>
      </w:r>
      <w:r>
        <w:rPr>
          <w:rFonts w:hint="eastAsia" w:ascii="仿宋_GB2312"/>
          <w:sz w:val="28"/>
          <w:szCs w:val="28"/>
        </w:rPr>
        <w:fldChar w:fldCharType="separate"/>
      </w:r>
      <w:r>
        <w:rPr>
          <w:rFonts w:ascii="仿宋_GB2312"/>
          <w:sz w:val="28"/>
          <w:szCs w:val="28"/>
        </w:rPr>
        <w:t>- 40 -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"_Toc94109623" </w:instrText>
      </w:r>
      <w:r>
        <w:fldChar w:fldCharType="separate"/>
      </w:r>
      <w:r>
        <w:rPr>
          <w:rStyle w:val="32"/>
          <w:rFonts w:hint="eastAsia" w:ascii="仿宋_GB2312"/>
          <w:sz w:val="28"/>
          <w:szCs w:val="28"/>
        </w:rPr>
        <w:t>（六）新生代骨干企业扎根工程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_Toc94109623 \h </w:instrText>
      </w:r>
      <w:r>
        <w:rPr>
          <w:rFonts w:hint="eastAsia" w:ascii="仿宋_GB2312"/>
          <w:sz w:val="28"/>
          <w:szCs w:val="28"/>
        </w:rPr>
        <w:fldChar w:fldCharType="separate"/>
      </w:r>
      <w:r>
        <w:rPr>
          <w:rFonts w:ascii="仿宋_GB2312"/>
          <w:sz w:val="28"/>
          <w:szCs w:val="28"/>
        </w:rPr>
        <w:t>- 41 -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"_Toc94109624" </w:instrText>
      </w:r>
      <w:r>
        <w:fldChar w:fldCharType="separate"/>
      </w:r>
      <w:r>
        <w:rPr>
          <w:rStyle w:val="32"/>
          <w:rFonts w:hint="eastAsia" w:ascii="仿宋_GB2312"/>
          <w:sz w:val="28"/>
          <w:szCs w:val="28"/>
        </w:rPr>
        <w:t>（七）新型工厂培育工程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_Toc94109624 \h </w:instrText>
      </w:r>
      <w:r>
        <w:rPr>
          <w:rFonts w:hint="eastAsia" w:ascii="仿宋_GB2312"/>
          <w:sz w:val="28"/>
          <w:szCs w:val="28"/>
        </w:rPr>
        <w:fldChar w:fldCharType="separate"/>
      </w:r>
      <w:r>
        <w:rPr>
          <w:rFonts w:ascii="仿宋_GB2312"/>
          <w:sz w:val="28"/>
          <w:szCs w:val="28"/>
        </w:rPr>
        <w:t>- 41 -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"_Toc94109625" </w:instrText>
      </w:r>
      <w:r>
        <w:fldChar w:fldCharType="separate"/>
      </w:r>
      <w:r>
        <w:rPr>
          <w:rStyle w:val="32"/>
          <w:rFonts w:hint="eastAsia" w:ascii="仿宋_GB2312"/>
          <w:sz w:val="28"/>
          <w:szCs w:val="28"/>
        </w:rPr>
        <w:t>（八）余杭智造产品推广工程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_Toc94109625 \h </w:instrText>
      </w:r>
      <w:r>
        <w:rPr>
          <w:rFonts w:hint="eastAsia" w:ascii="仿宋_GB2312"/>
          <w:sz w:val="28"/>
          <w:szCs w:val="28"/>
        </w:rPr>
        <w:fldChar w:fldCharType="separate"/>
      </w:r>
      <w:r>
        <w:rPr>
          <w:rFonts w:ascii="仿宋_GB2312"/>
          <w:sz w:val="28"/>
          <w:szCs w:val="28"/>
        </w:rPr>
        <w:t>- 42 -</w:t>
      </w:r>
      <w:r>
        <w:rPr>
          <w:rFonts w:hint="eastAsia" w:ascii="仿宋_GB2312"/>
          <w:sz w:val="28"/>
          <w:szCs w:val="28"/>
        </w:rPr>
        <w:fldChar w:fldCharType="end"/>
      </w:r>
      <w:r>
        <w:fldChar w:fldCharType="end"/>
      </w:r>
    </w:p>
    <w:p>
      <w:pPr>
        <w:pStyle w:val="20"/>
        <w:jc w:val="right"/>
        <w:rPr>
          <w:rFonts w:hint="eastAsia" w:ascii="仿宋_GB2312" w:hAnsi="Calibri" w:cs="黑体"/>
          <w:b w:val="0"/>
          <w:bCs w:val="0"/>
          <w:sz w:val="28"/>
          <w:szCs w:val="28"/>
        </w:rPr>
      </w:pPr>
      <w:r>
        <w:fldChar w:fldCharType="begin"/>
      </w:r>
      <w:r>
        <w:instrText xml:space="preserve">HYPERLINK  \l "_Toc94109626" </w:instrText>
      </w:r>
      <w:r>
        <w:fldChar w:fldCharType="separate"/>
      </w:r>
      <w:r>
        <w:rPr>
          <w:rStyle w:val="32"/>
          <w:rFonts w:hint="eastAsia" w:ascii="仿宋_GB2312"/>
          <w:sz w:val="28"/>
          <w:szCs w:val="28"/>
        </w:rPr>
        <w:t>七、保障措施</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_Toc94109626 \h </w:instrText>
      </w:r>
      <w:r>
        <w:rPr>
          <w:rFonts w:hint="eastAsia" w:ascii="仿宋_GB2312"/>
          <w:sz w:val="28"/>
          <w:szCs w:val="28"/>
        </w:rPr>
        <w:fldChar w:fldCharType="separate"/>
      </w:r>
      <w:r>
        <w:rPr>
          <w:rFonts w:ascii="仿宋_GB2312"/>
          <w:sz w:val="28"/>
          <w:szCs w:val="28"/>
        </w:rPr>
        <w:t>- 42 -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"_Toc94109627" </w:instrText>
      </w:r>
      <w:r>
        <w:fldChar w:fldCharType="separate"/>
      </w:r>
      <w:r>
        <w:rPr>
          <w:rStyle w:val="32"/>
          <w:rFonts w:hint="eastAsia" w:ascii="仿宋_GB2312"/>
          <w:bCs/>
          <w:sz w:val="28"/>
          <w:szCs w:val="28"/>
        </w:rPr>
        <w:t>（一）加强组织实施</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_Toc94109627 \h </w:instrText>
      </w:r>
      <w:r>
        <w:rPr>
          <w:rFonts w:hint="eastAsia" w:ascii="仿宋_GB2312"/>
          <w:sz w:val="28"/>
          <w:szCs w:val="28"/>
        </w:rPr>
        <w:fldChar w:fldCharType="separate"/>
      </w:r>
      <w:r>
        <w:rPr>
          <w:rFonts w:ascii="仿宋_GB2312"/>
          <w:sz w:val="28"/>
          <w:szCs w:val="28"/>
        </w:rPr>
        <w:t>- 42 -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"_Toc94109628" </w:instrText>
      </w:r>
      <w:r>
        <w:fldChar w:fldCharType="separate"/>
      </w:r>
      <w:r>
        <w:rPr>
          <w:rStyle w:val="32"/>
          <w:rFonts w:hint="eastAsia" w:ascii="仿宋_GB2312"/>
          <w:bCs/>
          <w:sz w:val="28"/>
          <w:szCs w:val="28"/>
        </w:rPr>
        <w:t>（二）加大政策扶持</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_Toc94109628 \h </w:instrText>
      </w:r>
      <w:r>
        <w:rPr>
          <w:rFonts w:hint="eastAsia" w:ascii="仿宋_GB2312"/>
          <w:sz w:val="28"/>
          <w:szCs w:val="28"/>
        </w:rPr>
        <w:fldChar w:fldCharType="separate"/>
      </w:r>
      <w:r>
        <w:rPr>
          <w:rFonts w:ascii="仿宋_GB2312"/>
          <w:sz w:val="28"/>
          <w:szCs w:val="28"/>
        </w:rPr>
        <w:t>- 43 -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"_Toc94109629" </w:instrText>
      </w:r>
      <w:r>
        <w:fldChar w:fldCharType="separate"/>
      </w:r>
      <w:r>
        <w:rPr>
          <w:rStyle w:val="32"/>
          <w:rFonts w:hint="eastAsia" w:ascii="仿宋_GB2312"/>
          <w:bCs/>
          <w:sz w:val="28"/>
          <w:szCs w:val="28"/>
        </w:rPr>
        <w:t>（三）强化要素保障</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_Toc94109629 \h </w:instrText>
      </w:r>
      <w:r>
        <w:rPr>
          <w:rFonts w:hint="eastAsia" w:ascii="仿宋_GB2312"/>
          <w:sz w:val="28"/>
          <w:szCs w:val="28"/>
        </w:rPr>
        <w:fldChar w:fldCharType="separate"/>
      </w:r>
      <w:r>
        <w:rPr>
          <w:rFonts w:ascii="仿宋_GB2312"/>
          <w:sz w:val="28"/>
          <w:szCs w:val="28"/>
        </w:rPr>
        <w:t>- 43 -</w:t>
      </w:r>
      <w:r>
        <w:rPr>
          <w:rFonts w:hint="eastAsia" w:ascii="仿宋_GB2312"/>
          <w:sz w:val="28"/>
          <w:szCs w:val="28"/>
        </w:rPr>
        <w:fldChar w:fldCharType="end"/>
      </w:r>
      <w:r>
        <w:fldChar w:fldCharType="end"/>
      </w:r>
    </w:p>
    <w:p>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"_Toc94109630" </w:instrText>
      </w:r>
      <w:r>
        <w:fldChar w:fldCharType="separate"/>
      </w:r>
      <w:r>
        <w:rPr>
          <w:rStyle w:val="32"/>
          <w:rFonts w:hint="eastAsia" w:ascii="仿宋_GB2312"/>
          <w:bCs/>
          <w:sz w:val="28"/>
          <w:szCs w:val="28"/>
        </w:rPr>
        <w:t>（四）深化改革创新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_Toc94109630 \h </w:instrText>
      </w:r>
      <w:r>
        <w:rPr>
          <w:rFonts w:hint="eastAsia" w:ascii="仿宋_GB2312"/>
          <w:sz w:val="28"/>
          <w:szCs w:val="28"/>
        </w:rPr>
        <w:fldChar w:fldCharType="separate"/>
      </w:r>
      <w:r>
        <w:rPr>
          <w:rFonts w:ascii="仿宋_GB2312"/>
          <w:sz w:val="28"/>
          <w:szCs w:val="28"/>
        </w:rPr>
        <w:t>- 44 -</w:t>
      </w:r>
      <w:r>
        <w:rPr>
          <w:rFonts w:hint="eastAsia" w:ascii="仿宋_GB2312"/>
          <w:sz w:val="28"/>
          <w:szCs w:val="28"/>
        </w:rPr>
        <w:fldChar w:fldCharType="end"/>
      </w:r>
      <w:r>
        <w:fldChar w:fldCharType="end"/>
      </w:r>
    </w:p>
    <w:p>
      <w:pPr>
        <w:ind w:firstLine="0" w:firstLineChars="0"/>
      </w:pPr>
      <w:r>
        <w:fldChar w:fldCharType="end"/>
      </w:r>
    </w:p>
    <w:p>
      <w:pPr>
        <w:pStyle w:val="2"/>
        <w:numPr>
          <w:ilvl w:val="0"/>
          <w:numId w:val="0"/>
        </w:numPr>
        <w:spacing w:before="439" w:after="439"/>
        <w:ind w:firstLine="643" w:firstLineChars="200"/>
        <w:rPr>
          <w:rFonts w:ascii="Times New Roman" w:hAnsi="Times New Roman" w:cs="Times New Roman"/>
        </w:rPr>
        <w:sectPr>
          <w:footerReference r:id="rId9" w:type="default"/>
          <w:pgSz w:w="11906" w:h="16838"/>
          <w:pgMar w:top="2098" w:right="1474" w:bottom="1984" w:left="1587" w:header="851" w:footer="992" w:gutter="0"/>
          <w:pgNumType w:fmt="numberInDash"/>
          <w:cols w:space="720" w:num="1"/>
          <w:docGrid w:type="lines" w:linePitch="439" w:charSpace="0"/>
        </w:sectPr>
      </w:pPr>
    </w:p>
    <w:p>
      <w:pPr>
        <w:spacing w:after="156" w:afterLines="50" w:line="580" w:lineRule="exact"/>
        <w:ind w:firstLine="0" w:firstLineChars="0"/>
        <w:jc w:val="center"/>
        <w:rPr>
          <w:rFonts w:eastAsia="方正小标宋简体"/>
          <w:bCs/>
          <w:sz w:val="44"/>
          <w:szCs w:val="44"/>
        </w:rPr>
      </w:pPr>
      <w:r>
        <w:rPr>
          <w:rFonts w:eastAsia="方正小标宋简体"/>
          <w:bCs/>
          <w:sz w:val="44"/>
          <w:szCs w:val="44"/>
        </w:rPr>
        <w:t>余杭区“十四五”制造业高质量发展规划</w:t>
      </w:r>
    </w:p>
    <w:p>
      <w:pPr>
        <w:spacing w:line="600" w:lineRule="exact"/>
        <w:ind w:firstLine="640"/>
        <w:rPr>
          <w:rFonts w:eastAsia="黑体"/>
          <w:bCs/>
          <w:szCs w:val="32"/>
        </w:rPr>
      </w:pPr>
    </w:p>
    <w:p>
      <w:pPr>
        <w:spacing w:line="600" w:lineRule="exact"/>
        <w:ind w:firstLine="640"/>
      </w:pPr>
      <w:r>
        <w:rPr>
          <w:szCs w:val="36"/>
        </w:rPr>
        <w:t>为推动余杭区制造业高质量发展</w:t>
      </w:r>
      <w:r>
        <w:rPr>
          <w:color w:val="000000"/>
          <w:szCs w:val="32"/>
        </w:rPr>
        <w:t>，打造“双引擎”，根据《浙江省全球先进制造业基地“十四五”规划》《杭州市关于实施“新制造业计划”推进高质量发展的若干意见》</w:t>
      </w:r>
      <w:r>
        <w:rPr>
          <w:szCs w:val="32"/>
        </w:rPr>
        <w:t>《余杭区国民经济和社会发展第十四个五年规划和二</w:t>
      </w:r>
      <w:r>
        <w:rPr>
          <w:rFonts w:eastAsia="微软雅黑"/>
          <w:szCs w:val="32"/>
        </w:rPr>
        <w:t>〇</w:t>
      </w:r>
      <w:r>
        <w:rPr>
          <w:szCs w:val="32"/>
        </w:rPr>
        <w:t>三五年远景目标纲要》等文件精神，特制定本规划。规划期限为2021-2025年。</w:t>
      </w:r>
    </w:p>
    <w:p>
      <w:pPr>
        <w:spacing w:line="600" w:lineRule="exact"/>
        <w:ind w:firstLine="640"/>
        <w:outlineLvl w:val="0"/>
        <w:rPr>
          <w:rFonts w:eastAsia="黑体"/>
          <w:bCs/>
          <w:szCs w:val="32"/>
        </w:rPr>
      </w:pPr>
      <w:bookmarkStart w:id="2" w:name="_Toc94109595"/>
      <w:r>
        <w:rPr>
          <w:rFonts w:eastAsia="黑体"/>
          <w:bCs/>
          <w:szCs w:val="32"/>
        </w:rPr>
        <w:t>一、</w:t>
      </w:r>
      <w:bookmarkEnd w:id="0"/>
      <w:bookmarkEnd w:id="1"/>
      <w:r>
        <w:rPr>
          <w:rFonts w:eastAsia="黑体"/>
          <w:bCs/>
          <w:szCs w:val="32"/>
        </w:rPr>
        <w:t>现实基础和面临形势</w:t>
      </w:r>
      <w:bookmarkEnd w:id="2"/>
    </w:p>
    <w:p>
      <w:pPr>
        <w:spacing w:line="600" w:lineRule="exact"/>
        <w:ind w:firstLine="640"/>
        <w:outlineLvl w:val="1"/>
        <w:rPr>
          <w:rFonts w:eastAsia="楷体_GB2312"/>
          <w:bCs/>
          <w:szCs w:val="32"/>
        </w:rPr>
      </w:pPr>
      <w:bookmarkStart w:id="3" w:name="_Toc50385794"/>
      <w:bookmarkStart w:id="4" w:name="_Toc53403226"/>
      <w:bookmarkStart w:id="5" w:name="_Toc94109596"/>
      <w:r>
        <w:rPr>
          <w:rFonts w:eastAsia="楷体_GB2312"/>
          <w:bCs/>
          <w:szCs w:val="32"/>
        </w:rPr>
        <w:t>（一）发展成就</w:t>
      </w:r>
      <w:bookmarkEnd w:id="3"/>
      <w:bookmarkEnd w:id="4"/>
      <w:bookmarkEnd w:id="5"/>
    </w:p>
    <w:p>
      <w:pPr>
        <w:spacing w:line="600" w:lineRule="exact"/>
        <w:ind w:firstLine="640"/>
        <w:rPr>
          <w:bCs/>
          <w:szCs w:val="32"/>
        </w:rPr>
      </w:pPr>
      <w:r>
        <w:rPr>
          <w:bCs/>
          <w:szCs w:val="32"/>
        </w:rPr>
        <w:t>“十三五”期间，余杭坚持新发展理念，以深化供给侧结构性改革为主线，全面实施“新制造业计划”，深入实施数字经济“一号工程”，</w:t>
      </w:r>
      <w:bookmarkStart w:id="6" w:name="_Hlk28902583"/>
      <w:r>
        <w:rPr>
          <w:bCs/>
          <w:szCs w:val="32"/>
        </w:rPr>
        <w:t>打造“双引擎”，</w:t>
      </w:r>
      <w:bookmarkEnd w:id="6"/>
      <w:r>
        <w:rPr>
          <w:bCs/>
          <w:szCs w:val="32"/>
        </w:rPr>
        <w:t>以新动能培育和传统动能修复为主攻方向，推动制造业高质量发展成效明显。</w:t>
      </w:r>
    </w:p>
    <w:p>
      <w:pPr>
        <w:spacing w:line="600" w:lineRule="exact"/>
        <w:ind w:firstLine="643"/>
        <w:rPr>
          <w:bCs/>
          <w:szCs w:val="32"/>
        </w:rPr>
      </w:pPr>
      <w:bookmarkStart w:id="7" w:name="OLE_LINK29"/>
      <w:bookmarkStart w:id="8" w:name="OLE_LINK28"/>
      <w:r>
        <w:rPr>
          <w:b/>
          <w:szCs w:val="32"/>
        </w:rPr>
        <w:t>1．质效提升带动综合实力增强。</w:t>
      </w:r>
      <w:bookmarkEnd w:id="7"/>
      <w:bookmarkEnd w:id="8"/>
      <w:r>
        <w:rPr>
          <w:bCs/>
          <w:szCs w:val="32"/>
        </w:rPr>
        <w:t>全区工业规模保持中高速增长，规上工业增加值从2015年的329.27亿元提升到2020年的506.76亿元，规模全市第三，年均增长6.6%，超额完成“十三五”目标。高质量发展态势明显，成功创建省内首批“中国制造2025”县级试点示范、振兴实体经济(传统产业改造)财政专项激励县(市、区)，入围省级制造业高质量发展示范区创建名单，成为全省制造业高质量发展的领头羊。企业加快长高长壮，培育新增雄鹰企业3家、上市企业24家、单项冠军5家、专精特新“小巨人”7家、隐形冠军12家。</w:t>
      </w:r>
    </w:p>
    <w:p>
      <w:pPr>
        <w:spacing w:line="600" w:lineRule="exact"/>
        <w:ind w:firstLine="643"/>
        <w:rPr>
          <w:bCs/>
          <w:szCs w:val="32"/>
        </w:rPr>
      </w:pPr>
      <w:r>
        <w:rPr>
          <w:b/>
          <w:szCs w:val="32"/>
        </w:rPr>
        <w:t>2．结构驱优加速新旧动能转化。</w:t>
      </w:r>
      <w:r>
        <w:rPr>
          <w:bCs/>
        </w:rPr>
        <w:t>2020年</w:t>
      </w:r>
      <w:r>
        <w:rPr>
          <w:bCs/>
          <w:szCs w:val="32"/>
        </w:rPr>
        <w:t>全区高新技术产业增加值、战略性新兴产业增加值分别达到379.0亿元和183.2亿元，占规上工业比重达74.8%和36.2%，较2015年分别提高26.1和8.2个百分点。新兴产业持续壮大，数字经济核心产业实现增加值1708亿元，年均增长20.4%，总量规模保持全省第一，占GDP比重达58.4%；生物医药、新材料行业优质企业、优质项目加快集聚，产业规模不断扩大。传统产业加快改造提升，家纺服装行业智能化技术改造获2020年工业与信息化重点领域财政专项激励支持。</w:t>
      </w:r>
    </w:p>
    <w:p>
      <w:pPr>
        <w:spacing w:line="600" w:lineRule="exact"/>
        <w:ind w:firstLine="643"/>
        <w:rPr>
          <w:bCs/>
        </w:rPr>
      </w:pPr>
      <w:r>
        <w:rPr>
          <w:b/>
          <w:szCs w:val="32"/>
        </w:rPr>
        <w:t>3．</w:t>
      </w:r>
      <w:bookmarkStart w:id="9" w:name="OLE_LINK72"/>
      <w:bookmarkStart w:id="10" w:name="OLE_LINK73"/>
      <w:r>
        <w:rPr>
          <w:b/>
          <w:szCs w:val="32"/>
        </w:rPr>
        <w:t>重器落地力推创新能力提升。</w:t>
      </w:r>
      <w:bookmarkEnd w:id="9"/>
      <w:bookmarkEnd w:id="10"/>
      <w:r>
        <w:rPr>
          <w:bCs/>
          <w:szCs w:val="32"/>
        </w:rPr>
        <w:t>余杭以“大孵化器”战略推进“全域创新策源地”建设，</w:t>
      </w:r>
      <w:r>
        <w:rPr>
          <w:bCs/>
        </w:rPr>
        <w:t>之江实验室、湖畔实验室、良渚实验室、浙大超重力离心模拟与实验装置等启动建设，培育了</w:t>
      </w:r>
      <w:r>
        <w:t>4个国家级制造业“双创”平台、7个省级制造业“双创”平台</w:t>
      </w:r>
      <w:r>
        <w:rPr>
          <w:bCs/>
        </w:rPr>
        <w:t>、3个省级制造业创新中心、1家国家重点实验室、13家省级重点实验室、8家国家级企业技术中心和31家省级企业技术中心，成为全省创新资源最富集的区域之一。同时，余杭制造业创新能力不断提升，2020年全区发明专利授权量达到1380件，新产品产值率达到50.2%。淘宝（中国）软件、华光新材等企业先后获得国家科技进步奖。</w:t>
      </w:r>
    </w:p>
    <w:p>
      <w:pPr>
        <w:spacing w:line="600" w:lineRule="exact"/>
        <w:ind w:firstLine="643"/>
        <w:rPr>
          <w:bCs/>
          <w:szCs w:val="32"/>
        </w:rPr>
      </w:pPr>
      <w:r>
        <w:rPr>
          <w:b/>
          <w:szCs w:val="32"/>
        </w:rPr>
        <w:t>4．数字赋能加速智造模式升级。</w:t>
      </w:r>
      <w:r>
        <w:rPr>
          <w:bCs/>
          <w:szCs w:val="32"/>
        </w:rPr>
        <w:t>“余杭智能制造”金名片逐步擦亮，在全国率先提出将智能制造评估作为工业项目用地招拍挂必要条件，建立“准入+改造+评估”的工作体系，推动企业自主开展数字化改造，区域两化融合发展指数从2015年的86.58提高到2020年的113.38，</w:t>
      </w:r>
      <w:r>
        <w:rPr>
          <w:szCs w:val="32"/>
        </w:rPr>
        <w:t>排名保持全省第二，</w:t>
      </w:r>
      <w:r>
        <w:rPr>
          <w:bCs/>
          <w:szCs w:val="32"/>
        </w:rPr>
        <w:t>提前完成规划任务。龙头企业智能制造标杆示范，全球首家全省唯一的服装行业“灯塔工厂”落地，培育了3家省级未来工厂（数量全省第一）、11家数字化车间/智能工厂。工业互联网平台赋能全省，supET基础性平台落地，构建了“大赛+大会+平台+小镇”四位一体发展模式，集聚了一大批服务商，发展生态逐步优化。</w:t>
      </w:r>
    </w:p>
    <w:p>
      <w:pPr>
        <w:spacing w:line="600" w:lineRule="exact"/>
        <w:ind w:firstLine="643"/>
        <w:rPr>
          <w:highlight w:val="yellow"/>
        </w:rPr>
      </w:pPr>
      <w:r>
        <w:rPr>
          <w:b/>
          <w:szCs w:val="32"/>
        </w:rPr>
        <w:t>5．品牌质量促进产业高端攀升。</w:t>
      </w:r>
      <w:r>
        <w:rPr>
          <w:bCs/>
          <w:szCs w:val="32"/>
        </w:rPr>
        <w:t>余杭区</w:t>
      </w:r>
      <w:r>
        <w:rPr>
          <w:szCs w:val="30"/>
        </w:rPr>
        <w:t>着力推进质量强区、品牌强区、标准强区战略，推进五大质量发展体系建设，老板电器获得</w:t>
      </w:r>
      <w:r>
        <w:rPr>
          <w:bCs/>
          <w:szCs w:val="32"/>
        </w:rPr>
        <w:t>全国质量奖，贝达药业获中国工业大奖，西奥电梯获得浙江省“政府质量奖”。推进“品字标”浙江制造产品认证，大力推动质量标杆品牌建设，区内企业品牌影响力不断扩大。依托梦栖小镇，每年召开世界工业设计大</w:t>
      </w:r>
      <w:r>
        <w:rPr>
          <w:szCs w:val="32"/>
        </w:rPr>
        <w:t>会，加快集聚工业设计、时尚设计、品牌营销等生产性服务业，着力推进</w:t>
      </w:r>
      <w:r>
        <w:rPr>
          <w:szCs w:val="30"/>
        </w:rPr>
        <w:t>制造业附加值提升和向价值链高端延伸。</w:t>
      </w:r>
    </w:p>
    <w:p>
      <w:pPr>
        <w:spacing w:line="600" w:lineRule="exact"/>
        <w:ind w:firstLine="643"/>
        <w:rPr>
          <w:bCs/>
          <w:szCs w:val="32"/>
        </w:rPr>
      </w:pPr>
      <w:r>
        <w:rPr>
          <w:b/>
          <w:szCs w:val="32"/>
        </w:rPr>
        <w:t>6．产城融合构建梯级平台体系。</w:t>
      </w:r>
      <w:r>
        <w:rPr>
          <w:bCs/>
          <w:szCs w:val="32"/>
        </w:rPr>
        <w:t>余杭按照产城融合理念，</w:t>
      </w:r>
      <w:r>
        <w:t>推进五大重点产业平台建设，</w:t>
      </w:r>
      <w:r>
        <w:rPr>
          <w:bCs/>
          <w:szCs w:val="32"/>
        </w:rPr>
        <w:t>未来科技城、余杭经济技术开发区、钱江经济开发区等平台产业集聚发展支撑作用突出。全区培育省级特色小镇5家，其中梦想小镇、艺尚小镇、梦栖小镇正式通过验收并命名，成为全区</w:t>
      </w:r>
      <w:r>
        <w:rPr>
          <w:szCs w:val="30"/>
        </w:rPr>
        <w:t>创新创业孵化的主要支撑。小微企业园区建设有序推进，</w:t>
      </w:r>
      <w:r>
        <w:t>开展小微企业园“亩均效益”领跑者行动，</w:t>
      </w:r>
      <w:r>
        <w:rPr>
          <w:bCs/>
          <w:szCs w:val="32"/>
        </w:rPr>
        <w:t>48家园区入选省级小微企业园区名单，数量全省第一，2家园区获评省级五星级小微企业园，成为省小微园建设提升重点区。</w:t>
      </w:r>
    </w:p>
    <w:p>
      <w:pPr>
        <w:pStyle w:val="7"/>
        <w:ind w:firstLine="560"/>
        <w:jc w:val="center"/>
        <w:rPr>
          <w:rFonts w:eastAsia="黑体" w:cs="Times New Roman"/>
          <w:sz w:val="28"/>
        </w:rPr>
      </w:pPr>
      <w:bookmarkStart w:id="11" w:name="_Hlk77064638"/>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1</w:t>
      </w:r>
      <w:r>
        <w:rPr>
          <w:rFonts w:eastAsia="黑体" w:cs="Times New Roman"/>
          <w:sz w:val="28"/>
        </w:rPr>
        <w:fldChar w:fldCharType="end"/>
      </w:r>
      <w:r>
        <w:rPr>
          <w:rFonts w:eastAsia="黑体" w:cs="Times New Roman"/>
          <w:sz w:val="28"/>
        </w:rPr>
        <w:t xml:space="preserve"> 余杭区“十三五”规划主要指标完成情况表</w:t>
      </w:r>
    </w:p>
    <w:tbl>
      <w:tblPr>
        <w:tblStyle w:val="35"/>
        <w:tblW w:w="9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
        <w:gridCol w:w="3265"/>
        <w:gridCol w:w="847"/>
        <w:gridCol w:w="1045"/>
        <w:gridCol w:w="993"/>
        <w:gridCol w:w="992"/>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3652" w:type="dxa"/>
            <w:gridSpan w:val="2"/>
            <w:vMerge w:val="restart"/>
            <w:tcMar>
              <w:left w:w="28" w:type="dxa"/>
              <w:right w:w="28" w:type="dxa"/>
            </w:tcMar>
            <w:vAlign w:val="center"/>
          </w:tcPr>
          <w:p>
            <w:pPr>
              <w:spacing w:line="240" w:lineRule="auto"/>
              <w:ind w:firstLine="0" w:firstLineChars="0"/>
              <w:jc w:val="center"/>
              <w:rPr>
                <w:b/>
                <w:sz w:val="24"/>
              </w:rPr>
            </w:pPr>
            <w:r>
              <w:rPr>
                <w:b/>
                <w:sz w:val="24"/>
              </w:rPr>
              <w:t>指标</w:t>
            </w:r>
          </w:p>
        </w:tc>
        <w:tc>
          <w:tcPr>
            <w:tcW w:w="847" w:type="dxa"/>
            <w:vMerge w:val="restart"/>
            <w:tcMar>
              <w:left w:w="28" w:type="dxa"/>
              <w:right w:w="28" w:type="dxa"/>
            </w:tcMar>
            <w:vAlign w:val="center"/>
          </w:tcPr>
          <w:p>
            <w:pPr>
              <w:spacing w:line="240" w:lineRule="auto"/>
              <w:ind w:firstLine="0" w:firstLineChars="0"/>
              <w:jc w:val="center"/>
              <w:rPr>
                <w:b/>
                <w:color w:val="000000"/>
                <w:sz w:val="24"/>
              </w:rPr>
            </w:pPr>
            <w:r>
              <w:rPr>
                <w:b/>
                <w:color w:val="000000"/>
                <w:sz w:val="24"/>
              </w:rPr>
              <w:t>单位</w:t>
            </w:r>
          </w:p>
        </w:tc>
        <w:tc>
          <w:tcPr>
            <w:tcW w:w="3030" w:type="dxa"/>
            <w:gridSpan w:val="3"/>
            <w:tcMar>
              <w:left w:w="28" w:type="dxa"/>
              <w:right w:w="28" w:type="dxa"/>
            </w:tcMar>
            <w:vAlign w:val="center"/>
          </w:tcPr>
          <w:p>
            <w:pPr>
              <w:spacing w:line="240" w:lineRule="auto"/>
              <w:ind w:firstLine="482"/>
              <w:jc w:val="center"/>
              <w:rPr>
                <w:b/>
                <w:sz w:val="24"/>
              </w:rPr>
            </w:pPr>
            <w:r>
              <w:rPr>
                <w:b/>
                <w:sz w:val="24"/>
              </w:rPr>
              <w:t>原余杭区</w:t>
            </w:r>
          </w:p>
        </w:tc>
        <w:tc>
          <w:tcPr>
            <w:tcW w:w="1276" w:type="dxa"/>
            <w:vAlign w:val="center"/>
          </w:tcPr>
          <w:p>
            <w:pPr>
              <w:spacing w:line="240" w:lineRule="auto"/>
              <w:ind w:firstLine="0" w:firstLineChars="0"/>
              <w:jc w:val="center"/>
              <w:rPr>
                <w:b/>
                <w:sz w:val="24"/>
              </w:rPr>
            </w:pPr>
            <w:r>
              <w:rPr>
                <w:b/>
                <w:sz w:val="24"/>
              </w:rPr>
              <w:t>现余杭区</w:t>
            </w:r>
          </w:p>
        </w:tc>
        <w:tc>
          <w:tcPr>
            <w:tcW w:w="1134" w:type="dxa"/>
            <w:vMerge w:val="restart"/>
            <w:vAlign w:val="center"/>
          </w:tcPr>
          <w:p>
            <w:pPr>
              <w:spacing w:line="240" w:lineRule="auto"/>
              <w:ind w:firstLine="0" w:firstLineChars="0"/>
              <w:jc w:val="center"/>
              <w:rPr>
                <w:b/>
                <w:sz w:val="24"/>
              </w:rPr>
            </w:pPr>
            <w:r>
              <w:rPr>
                <w:b/>
                <w:sz w:val="24"/>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3652" w:type="dxa"/>
            <w:gridSpan w:val="2"/>
            <w:vMerge w:val="continue"/>
            <w:tcMar>
              <w:left w:w="28" w:type="dxa"/>
              <w:right w:w="28" w:type="dxa"/>
            </w:tcMar>
            <w:vAlign w:val="center"/>
          </w:tcPr>
          <w:p>
            <w:pPr>
              <w:spacing w:line="240" w:lineRule="auto"/>
              <w:ind w:firstLine="0" w:firstLineChars="0"/>
              <w:jc w:val="center"/>
              <w:rPr>
                <w:b/>
                <w:sz w:val="24"/>
              </w:rPr>
            </w:pPr>
          </w:p>
        </w:tc>
        <w:tc>
          <w:tcPr>
            <w:tcW w:w="847" w:type="dxa"/>
            <w:vMerge w:val="continue"/>
            <w:tcMar>
              <w:left w:w="28" w:type="dxa"/>
              <w:right w:w="28" w:type="dxa"/>
            </w:tcMar>
            <w:vAlign w:val="center"/>
          </w:tcPr>
          <w:p>
            <w:pPr>
              <w:spacing w:line="240" w:lineRule="auto"/>
              <w:ind w:firstLine="0" w:firstLineChars="0"/>
              <w:jc w:val="center"/>
              <w:rPr>
                <w:b/>
                <w:color w:val="000000"/>
                <w:sz w:val="24"/>
              </w:rPr>
            </w:pPr>
          </w:p>
        </w:tc>
        <w:tc>
          <w:tcPr>
            <w:tcW w:w="1045" w:type="dxa"/>
            <w:tcMar>
              <w:left w:w="28" w:type="dxa"/>
              <w:right w:w="28" w:type="dxa"/>
            </w:tcMar>
            <w:vAlign w:val="center"/>
          </w:tcPr>
          <w:p>
            <w:pPr>
              <w:spacing w:line="240" w:lineRule="auto"/>
              <w:ind w:firstLine="0" w:firstLineChars="0"/>
              <w:jc w:val="center"/>
              <w:rPr>
                <w:b/>
                <w:color w:val="000000"/>
                <w:sz w:val="24"/>
              </w:rPr>
            </w:pPr>
            <w:r>
              <w:rPr>
                <w:b/>
                <w:color w:val="000000"/>
                <w:sz w:val="24"/>
              </w:rPr>
              <w:t>2015年</w:t>
            </w:r>
          </w:p>
          <w:p>
            <w:pPr>
              <w:spacing w:line="240" w:lineRule="auto"/>
              <w:ind w:firstLine="0" w:firstLineChars="0"/>
              <w:jc w:val="center"/>
              <w:rPr>
                <w:b/>
                <w:color w:val="000000"/>
                <w:sz w:val="24"/>
              </w:rPr>
            </w:pPr>
            <w:r>
              <w:rPr>
                <w:b/>
                <w:color w:val="000000"/>
                <w:sz w:val="24"/>
              </w:rPr>
              <w:t>基数</w:t>
            </w:r>
          </w:p>
        </w:tc>
        <w:tc>
          <w:tcPr>
            <w:tcW w:w="993" w:type="dxa"/>
            <w:tcMar>
              <w:left w:w="28" w:type="dxa"/>
              <w:right w:w="28" w:type="dxa"/>
            </w:tcMar>
            <w:vAlign w:val="center"/>
          </w:tcPr>
          <w:p>
            <w:pPr>
              <w:spacing w:line="240" w:lineRule="auto"/>
              <w:ind w:firstLine="0" w:firstLineChars="0"/>
              <w:jc w:val="center"/>
              <w:rPr>
                <w:b/>
                <w:color w:val="000000"/>
                <w:sz w:val="24"/>
              </w:rPr>
            </w:pPr>
            <w:r>
              <w:rPr>
                <w:b/>
                <w:color w:val="000000"/>
                <w:sz w:val="24"/>
              </w:rPr>
              <w:t>2020年</w:t>
            </w:r>
          </w:p>
          <w:p>
            <w:pPr>
              <w:spacing w:line="240" w:lineRule="auto"/>
              <w:ind w:firstLine="0" w:firstLineChars="0"/>
              <w:jc w:val="center"/>
              <w:rPr>
                <w:b/>
                <w:color w:val="000000"/>
                <w:sz w:val="24"/>
              </w:rPr>
            </w:pPr>
            <w:r>
              <w:rPr>
                <w:b/>
                <w:color w:val="000000"/>
                <w:sz w:val="24"/>
              </w:rPr>
              <w:t>目标</w:t>
            </w:r>
          </w:p>
        </w:tc>
        <w:tc>
          <w:tcPr>
            <w:tcW w:w="992" w:type="dxa"/>
            <w:vAlign w:val="center"/>
          </w:tcPr>
          <w:p>
            <w:pPr>
              <w:spacing w:line="240" w:lineRule="auto"/>
              <w:ind w:firstLine="0" w:firstLineChars="0"/>
              <w:jc w:val="center"/>
              <w:rPr>
                <w:b/>
                <w:sz w:val="24"/>
              </w:rPr>
            </w:pPr>
            <w:r>
              <w:rPr>
                <w:b/>
                <w:sz w:val="24"/>
              </w:rPr>
              <w:t>2020年</w:t>
            </w:r>
          </w:p>
          <w:p>
            <w:pPr>
              <w:spacing w:line="240" w:lineRule="auto"/>
              <w:ind w:firstLine="0" w:firstLineChars="0"/>
              <w:jc w:val="center"/>
              <w:rPr>
                <w:b/>
                <w:sz w:val="24"/>
              </w:rPr>
            </w:pPr>
            <w:r>
              <w:rPr>
                <w:b/>
                <w:sz w:val="24"/>
              </w:rPr>
              <w:t>完成</w:t>
            </w:r>
          </w:p>
        </w:tc>
        <w:tc>
          <w:tcPr>
            <w:tcW w:w="1276" w:type="dxa"/>
            <w:vAlign w:val="center"/>
          </w:tcPr>
          <w:p>
            <w:pPr>
              <w:spacing w:line="240" w:lineRule="auto"/>
              <w:ind w:firstLine="0" w:firstLineChars="0"/>
              <w:jc w:val="center"/>
              <w:rPr>
                <w:b/>
                <w:sz w:val="24"/>
              </w:rPr>
            </w:pPr>
            <w:r>
              <w:rPr>
                <w:b/>
                <w:sz w:val="24"/>
              </w:rPr>
              <w:t>2020年</w:t>
            </w:r>
          </w:p>
          <w:p>
            <w:pPr>
              <w:spacing w:line="240" w:lineRule="auto"/>
              <w:ind w:firstLine="0" w:firstLineChars="0"/>
              <w:jc w:val="center"/>
              <w:rPr>
                <w:b/>
                <w:sz w:val="24"/>
              </w:rPr>
            </w:pPr>
            <w:r>
              <w:rPr>
                <w:b/>
                <w:sz w:val="24"/>
              </w:rPr>
              <w:t>完成</w:t>
            </w:r>
          </w:p>
        </w:tc>
        <w:tc>
          <w:tcPr>
            <w:tcW w:w="1134" w:type="dxa"/>
            <w:vMerge w:val="continue"/>
            <w:vAlign w:val="center"/>
          </w:tcPr>
          <w:p>
            <w:pPr>
              <w:spacing w:line="240" w:lineRule="auto"/>
              <w:ind w:firstLine="0" w:firstLineChars="0"/>
              <w:jc w:val="center"/>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pPr>
              <w:spacing w:line="240" w:lineRule="auto"/>
              <w:ind w:firstLine="0" w:firstLineChars="0"/>
              <w:jc w:val="center"/>
              <w:rPr>
                <w:b/>
                <w:sz w:val="24"/>
              </w:rPr>
            </w:pPr>
            <w:r>
              <w:rPr>
                <w:b/>
                <w:sz w:val="24"/>
              </w:rPr>
              <w:t>质量效益</w:t>
            </w:r>
          </w:p>
        </w:tc>
        <w:tc>
          <w:tcPr>
            <w:tcW w:w="3265" w:type="dxa"/>
            <w:tcMar>
              <w:left w:w="28" w:type="dxa"/>
              <w:right w:w="28" w:type="dxa"/>
            </w:tcMar>
            <w:vAlign w:val="center"/>
          </w:tcPr>
          <w:p>
            <w:pPr>
              <w:spacing w:line="240" w:lineRule="auto"/>
              <w:ind w:firstLine="0" w:firstLineChars="0"/>
              <w:rPr>
                <w:sz w:val="24"/>
              </w:rPr>
            </w:pPr>
            <w:r>
              <w:rPr>
                <w:sz w:val="24"/>
              </w:rPr>
              <w:t>规模以上工业增加值</w:t>
            </w:r>
          </w:p>
        </w:tc>
        <w:tc>
          <w:tcPr>
            <w:tcW w:w="847" w:type="dxa"/>
            <w:tcMar>
              <w:left w:w="28" w:type="dxa"/>
              <w:right w:w="28" w:type="dxa"/>
            </w:tcMar>
            <w:vAlign w:val="center"/>
          </w:tcPr>
          <w:p>
            <w:pPr>
              <w:spacing w:line="240" w:lineRule="auto"/>
              <w:ind w:firstLine="0" w:firstLineChars="0"/>
              <w:jc w:val="center"/>
              <w:rPr>
                <w:sz w:val="24"/>
              </w:rPr>
            </w:pPr>
            <w:r>
              <w:rPr>
                <w:sz w:val="24"/>
              </w:rPr>
              <w:t>亿元</w:t>
            </w:r>
          </w:p>
        </w:tc>
        <w:tc>
          <w:tcPr>
            <w:tcW w:w="1045" w:type="dxa"/>
            <w:tcMar>
              <w:left w:w="28" w:type="dxa"/>
              <w:right w:w="28" w:type="dxa"/>
            </w:tcMar>
            <w:vAlign w:val="center"/>
          </w:tcPr>
          <w:p>
            <w:pPr>
              <w:spacing w:line="240" w:lineRule="auto"/>
              <w:ind w:firstLine="0" w:firstLineChars="0"/>
              <w:jc w:val="center"/>
              <w:rPr>
                <w:sz w:val="24"/>
              </w:rPr>
            </w:pPr>
            <w:r>
              <w:rPr>
                <w:sz w:val="24"/>
              </w:rPr>
              <w:t>322.97</w:t>
            </w:r>
          </w:p>
        </w:tc>
        <w:tc>
          <w:tcPr>
            <w:tcW w:w="993" w:type="dxa"/>
            <w:tcMar>
              <w:left w:w="28" w:type="dxa"/>
              <w:right w:w="28" w:type="dxa"/>
            </w:tcMar>
            <w:vAlign w:val="center"/>
          </w:tcPr>
          <w:p>
            <w:pPr>
              <w:spacing w:line="240" w:lineRule="auto"/>
              <w:ind w:firstLine="0" w:firstLineChars="0"/>
              <w:jc w:val="center"/>
              <w:rPr>
                <w:color w:val="000000"/>
                <w:sz w:val="24"/>
              </w:rPr>
            </w:pPr>
            <w:r>
              <w:rPr>
                <w:color w:val="000000"/>
                <w:sz w:val="24"/>
              </w:rPr>
              <w:t>力争420</w:t>
            </w:r>
          </w:p>
        </w:tc>
        <w:tc>
          <w:tcPr>
            <w:tcW w:w="992" w:type="dxa"/>
            <w:vAlign w:val="center"/>
          </w:tcPr>
          <w:p>
            <w:pPr>
              <w:spacing w:line="240" w:lineRule="auto"/>
              <w:ind w:firstLine="0" w:firstLineChars="0"/>
              <w:jc w:val="center"/>
              <w:rPr>
                <w:sz w:val="24"/>
              </w:rPr>
            </w:pPr>
            <w:r>
              <w:rPr>
                <w:color w:val="000000"/>
                <w:kern w:val="0"/>
                <w:sz w:val="24"/>
                <w:szCs w:val="21"/>
              </w:rPr>
              <w:t>506.76</w:t>
            </w:r>
          </w:p>
        </w:tc>
        <w:tc>
          <w:tcPr>
            <w:tcW w:w="1276" w:type="dxa"/>
            <w:vAlign w:val="center"/>
          </w:tcPr>
          <w:p>
            <w:pPr>
              <w:spacing w:line="240" w:lineRule="auto"/>
              <w:ind w:firstLine="0" w:firstLineChars="0"/>
              <w:jc w:val="center"/>
              <w:rPr>
                <w:sz w:val="24"/>
              </w:rPr>
            </w:pPr>
            <w:r>
              <w:rPr>
                <w:color w:val="000000"/>
                <w:kern w:val="0"/>
                <w:sz w:val="24"/>
                <w:szCs w:val="28"/>
              </w:rPr>
              <w:t>190.27</w:t>
            </w:r>
          </w:p>
        </w:tc>
        <w:tc>
          <w:tcPr>
            <w:tcW w:w="1134" w:type="dxa"/>
            <w:vAlign w:val="center"/>
          </w:tcPr>
          <w:p>
            <w:pPr>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sz w:val="24"/>
              </w:rPr>
            </w:pPr>
            <w:r>
              <w:rPr>
                <w:sz w:val="24"/>
              </w:rPr>
              <w:t>规模以上工业增加值率</w:t>
            </w:r>
          </w:p>
        </w:tc>
        <w:tc>
          <w:tcPr>
            <w:tcW w:w="847" w:type="dxa"/>
            <w:tcMar>
              <w:left w:w="28" w:type="dxa"/>
              <w:right w:w="28" w:type="dxa"/>
            </w:tcMar>
            <w:vAlign w:val="center"/>
          </w:tcPr>
          <w:p>
            <w:pPr>
              <w:spacing w:line="240" w:lineRule="auto"/>
              <w:ind w:firstLine="0" w:firstLineChars="0"/>
              <w:jc w:val="center"/>
              <w:rPr>
                <w:sz w:val="24"/>
              </w:rPr>
            </w:pPr>
            <w:r>
              <w:rPr>
                <w:sz w:val="24"/>
              </w:rPr>
              <w:t>%</w:t>
            </w:r>
          </w:p>
        </w:tc>
        <w:tc>
          <w:tcPr>
            <w:tcW w:w="1045" w:type="dxa"/>
            <w:tcMar>
              <w:left w:w="28" w:type="dxa"/>
              <w:right w:w="28" w:type="dxa"/>
            </w:tcMar>
            <w:vAlign w:val="center"/>
          </w:tcPr>
          <w:p>
            <w:pPr>
              <w:spacing w:line="240" w:lineRule="auto"/>
              <w:ind w:firstLine="0" w:firstLineChars="0"/>
              <w:jc w:val="center"/>
              <w:rPr>
                <w:sz w:val="24"/>
              </w:rPr>
            </w:pPr>
            <w:r>
              <w:rPr>
                <w:sz w:val="24"/>
              </w:rPr>
              <w:t>22.64</w:t>
            </w:r>
          </w:p>
        </w:tc>
        <w:tc>
          <w:tcPr>
            <w:tcW w:w="993" w:type="dxa"/>
            <w:tcMar>
              <w:left w:w="28" w:type="dxa"/>
              <w:right w:w="28" w:type="dxa"/>
            </w:tcMar>
            <w:vAlign w:val="center"/>
          </w:tcPr>
          <w:p>
            <w:pPr>
              <w:spacing w:line="240" w:lineRule="auto"/>
              <w:ind w:firstLine="0" w:firstLineChars="0"/>
              <w:jc w:val="center"/>
              <w:rPr>
                <w:sz w:val="24"/>
              </w:rPr>
            </w:pPr>
            <w:r>
              <w:rPr>
                <w:sz w:val="24"/>
              </w:rPr>
              <w:t>25</w:t>
            </w:r>
          </w:p>
        </w:tc>
        <w:tc>
          <w:tcPr>
            <w:tcW w:w="992" w:type="dxa"/>
            <w:vAlign w:val="center"/>
          </w:tcPr>
          <w:p>
            <w:pPr>
              <w:spacing w:line="240" w:lineRule="auto"/>
              <w:ind w:firstLine="0" w:firstLineChars="0"/>
              <w:jc w:val="center"/>
              <w:rPr>
                <w:sz w:val="24"/>
              </w:rPr>
            </w:pPr>
            <w:r>
              <w:rPr>
                <w:color w:val="000000"/>
                <w:sz w:val="24"/>
              </w:rPr>
              <w:t>23.59</w:t>
            </w:r>
          </w:p>
        </w:tc>
        <w:tc>
          <w:tcPr>
            <w:tcW w:w="1276" w:type="dxa"/>
            <w:vAlign w:val="center"/>
          </w:tcPr>
          <w:p>
            <w:pPr>
              <w:spacing w:line="240" w:lineRule="auto"/>
              <w:ind w:firstLine="0" w:firstLineChars="0"/>
              <w:jc w:val="center"/>
              <w:rPr>
                <w:sz w:val="24"/>
              </w:rPr>
            </w:pPr>
            <w:r>
              <w:rPr>
                <w:sz w:val="24"/>
              </w:rPr>
              <w:t>23.32</w:t>
            </w:r>
          </w:p>
        </w:tc>
        <w:tc>
          <w:tcPr>
            <w:tcW w:w="1134" w:type="dxa"/>
            <w:vAlign w:val="center"/>
          </w:tcPr>
          <w:p>
            <w:pPr>
              <w:spacing w:line="240" w:lineRule="auto"/>
              <w:ind w:firstLine="0" w:firstLineChars="0"/>
              <w:jc w:val="center"/>
              <w:rPr>
                <w:rFonts w:eastAsia="宋体"/>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sz w:val="24"/>
              </w:rPr>
            </w:pPr>
            <w:r>
              <w:rPr>
                <w:spacing w:val="-9"/>
                <w:sz w:val="24"/>
              </w:rPr>
              <w:t>规模以上工业全员劳动生产率</w:t>
            </w:r>
          </w:p>
        </w:tc>
        <w:tc>
          <w:tcPr>
            <w:tcW w:w="847" w:type="dxa"/>
            <w:tcMar>
              <w:left w:w="28" w:type="dxa"/>
              <w:right w:w="28" w:type="dxa"/>
            </w:tcMar>
            <w:vAlign w:val="center"/>
          </w:tcPr>
          <w:p>
            <w:pPr>
              <w:spacing w:line="240" w:lineRule="auto"/>
              <w:ind w:firstLine="0" w:firstLineChars="0"/>
              <w:jc w:val="center"/>
              <w:rPr>
                <w:sz w:val="24"/>
              </w:rPr>
            </w:pPr>
            <w:r>
              <w:rPr>
                <w:sz w:val="24"/>
              </w:rPr>
              <w:t>万元/人</w:t>
            </w:r>
          </w:p>
        </w:tc>
        <w:tc>
          <w:tcPr>
            <w:tcW w:w="1045" w:type="dxa"/>
            <w:tcMar>
              <w:left w:w="28" w:type="dxa"/>
              <w:right w:w="28" w:type="dxa"/>
            </w:tcMar>
            <w:vAlign w:val="center"/>
          </w:tcPr>
          <w:p>
            <w:pPr>
              <w:spacing w:line="240" w:lineRule="auto"/>
              <w:ind w:firstLine="0" w:firstLineChars="0"/>
              <w:jc w:val="center"/>
              <w:rPr>
                <w:sz w:val="24"/>
                <w:highlight w:val="yellow"/>
              </w:rPr>
            </w:pPr>
            <w:r>
              <w:rPr>
                <w:sz w:val="24"/>
              </w:rPr>
              <w:t>16.62</w:t>
            </w:r>
          </w:p>
        </w:tc>
        <w:tc>
          <w:tcPr>
            <w:tcW w:w="993" w:type="dxa"/>
            <w:tcMar>
              <w:left w:w="28" w:type="dxa"/>
              <w:right w:w="28" w:type="dxa"/>
            </w:tcMar>
            <w:vAlign w:val="center"/>
          </w:tcPr>
          <w:p>
            <w:pPr>
              <w:spacing w:line="240" w:lineRule="auto"/>
              <w:ind w:firstLine="0" w:firstLineChars="0"/>
              <w:jc w:val="center"/>
              <w:rPr>
                <w:sz w:val="24"/>
              </w:rPr>
            </w:pPr>
            <w:r>
              <w:rPr>
                <w:sz w:val="24"/>
              </w:rPr>
              <w:t>23</w:t>
            </w:r>
          </w:p>
        </w:tc>
        <w:tc>
          <w:tcPr>
            <w:tcW w:w="992" w:type="dxa"/>
            <w:vAlign w:val="center"/>
          </w:tcPr>
          <w:p>
            <w:pPr>
              <w:spacing w:line="240" w:lineRule="auto"/>
              <w:ind w:firstLine="0" w:firstLineChars="0"/>
              <w:jc w:val="center"/>
              <w:rPr>
                <w:color w:val="000000"/>
                <w:sz w:val="24"/>
              </w:rPr>
            </w:pPr>
            <w:r>
              <w:rPr>
                <w:color w:val="000000"/>
                <w:sz w:val="24"/>
              </w:rPr>
              <w:t>25.74</w:t>
            </w:r>
          </w:p>
        </w:tc>
        <w:tc>
          <w:tcPr>
            <w:tcW w:w="1276" w:type="dxa"/>
            <w:vAlign w:val="center"/>
          </w:tcPr>
          <w:p>
            <w:pPr>
              <w:spacing w:line="240" w:lineRule="auto"/>
              <w:ind w:firstLine="0" w:firstLineChars="0"/>
              <w:jc w:val="center"/>
              <w:rPr>
                <w:color w:val="000000"/>
                <w:sz w:val="24"/>
              </w:rPr>
            </w:pPr>
            <w:r>
              <w:rPr>
                <w:color w:val="000000"/>
                <w:sz w:val="24"/>
              </w:rPr>
              <w:t>22.86</w:t>
            </w:r>
          </w:p>
        </w:tc>
        <w:tc>
          <w:tcPr>
            <w:tcW w:w="1134" w:type="dxa"/>
            <w:vAlign w:val="center"/>
          </w:tcPr>
          <w:p>
            <w:pPr>
              <w:spacing w:line="240" w:lineRule="auto"/>
              <w:ind w:firstLine="0" w:firstLineChars="0"/>
              <w:jc w:val="center"/>
              <w:rPr>
                <w:rFonts w:eastAsia="宋体"/>
                <w:color w:val="000000"/>
                <w:sz w:val="21"/>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规模以上工业企业主导产品采标率</w:t>
            </w:r>
          </w:p>
        </w:tc>
        <w:tc>
          <w:tcPr>
            <w:tcW w:w="847" w:type="dxa"/>
            <w:tcMar>
              <w:left w:w="28" w:type="dxa"/>
              <w:right w:w="28" w:type="dxa"/>
            </w:tcMar>
            <w:vAlign w:val="center"/>
          </w:tcPr>
          <w:p>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pPr>
              <w:spacing w:line="240" w:lineRule="auto"/>
              <w:ind w:firstLine="0" w:firstLineChars="0"/>
              <w:jc w:val="center"/>
              <w:rPr>
                <w:sz w:val="24"/>
                <w:highlight w:val="yellow"/>
              </w:rPr>
            </w:pPr>
            <w:r>
              <w:rPr>
                <w:sz w:val="24"/>
              </w:rPr>
              <w:t>57.71</w:t>
            </w:r>
          </w:p>
        </w:tc>
        <w:tc>
          <w:tcPr>
            <w:tcW w:w="993" w:type="dxa"/>
            <w:tcMar>
              <w:left w:w="28" w:type="dxa"/>
              <w:right w:w="28" w:type="dxa"/>
            </w:tcMar>
            <w:vAlign w:val="center"/>
          </w:tcPr>
          <w:p>
            <w:pPr>
              <w:spacing w:line="240" w:lineRule="auto"/>
              <w:ind w:firstLine="0" w:firstLineChars="0"/>
              <w:jc w:val="center"/>
              <w:rPr>
                <w:color w:val="000000"/>
                <w:sz w:val="24"/>
                <w:highlight w:val="yellow"/>
              </w:rPr>
            </w:pPr>
            <w:r>
              <w:rPr>
                <w:color w:val="000000"/>
                <w:sz w:val="24"/>
              </w:rPr>
              <w:t>70</w:t>
            </w:r>
          </w:p>
        </w:tc>
        <w:tc>
          <w:tcPr>
            <w:tcW w:w="992" w:type="dxa"/>
            <w:vAlign w:val="center"/>
          </w:tcPr>
          <w:p>
            <w:pPr>
              <w:spacing w:line="240" w:lineRule="auto"/>
              <w:ind w:firstLine="0" w:firstLineChars="0"/>
              <w:jc w:val="center"/>
              <w:rPr>
                <w:sz w:val="24"/>
              </w:rPr>
            </w:pPr>
            <w:r>
              <w:rPr>
                <w:sz w:val="24"/>
              </w:rPr>
              <w:t>--</w:t>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年销售10亿元以上工业企业数</w:t>
            </w:r>
          </w:p>
        </w:tc>
        <w:tc>
          <w:tcPr>
            <w:tcW w:w="847" w:type="dxa"/>
            <w:tcMar>
              <w:left w:w="28" w:type="dxa"/>
              <w:right w:w="28" w:type="dxa"/>
            </w:tcMar>
            <w:vAlign w:val="center"/>
          </w:tcPr>
          <w:p>
            <w:pPr>
              <w:spacing w:line="240" w:lineRule="auto"/>
              <w:ind w:firstLine="0" w:firstLineChars="0"/>
              <w:jc w:val="center"/>
              <w:rPr>
                <w:color w:val="000000"/>
                <w:sz w:val="24"/>
              </w:rPr>
            </w:pPr>
            <w:r>
              <w:rPr>
                <w:color w:val="000000"/>
                <w:sz w:val="24"/>
              </w:rPr>
              <w:t>家</w:t>
            </w:r>
          </w:p>
        </w:tc>
        <w:tc>
          <w:tcPr>
            <w:tcW w:w="1045" w:type="dxa"/>
            <w:tcMar>
              <w:left w:w="28" w:type="dxa"/>
              <w:right w:w="28" w:type="dxa"/>
            </w:tcMar>
            <w:vAlign w:val="center"/>
          </w:tcPr>
          <w:p>
            <w:pPr>
              <w:spacing w:line="240" w:lineRule="auto"/>
              <w:ind w:firstLine="0" w:firstLineChars="0"/>
              <w:jc w:val="center"/>
              <w:rPr>
                <w:color w:val="000000"/>
                <w:sz w:val="24"/>
              </w:rPr>
            </w:pPr>
            <w:r>
              <w:rPr>
                <w:color w:val="000000"/>
                <w:sz w:val="24"/>
              </w:rPr>
              <w:t>16</w:t>
            </w:r>
          </w:p>
        </w:tc>
        <w:tc>
          <w:tcPr>
            <w:tcW w:w="993" w:type="dxa"/>
            <w:tcMar>
              <w:left w:w="28" w:type="dxa"/>
              <w:right w:w="28" w:type="dxa"/>
            </w:tcMar>
            <w:vAlign w:val="center"/>
          </w:tcPr>
          <w:p>
            <w:pPr>
              <w:spacing w:line="240" w:lineRule="auto"/>
              <w:ind w:firstLine="0" w:firstLineChars="0"/>
              <w:jc w:val="center"/>
              <w:rPr>
                <w:color w:val="000000"/>
                <w:sz w:val="24"/>
              </w:rPr>
            </w:pPr>
            <w:r>
              <w:rPr>
                <w:color w:val="000000"/>
                <w:sz w:val="24"/>
              </w:rPr>
              <w:t>25</w:t>
            </w:r>
          </w:p>
        </w:tc>
        <w:tc>
          <w:tcPr>
            <w:tcW w:w="992" w:type="dxa"/>
            <w:vAlign w:val="center"/>
          </w:tcPr>
          <w:p>
            <w:pPr>
              <w:spacing w:line="240" w:lineRule="auto"/>
              <w:ind w:firstLine="0" w:firstLineChars="0"/>
              <w:jc w:val="center"/>
              <w:rPr>
                <w:color w:val="000000"/>
                <w:sz w:val="24"/>
              </w:rPr>
            </w:pPr>
            <w:r>
              <w:rPr>
                <w:color w:val="000000"/>
                <w:sz w:val="24"/>
              </w:rPr>
              <w:t>30</w:t>
            </w:r>
          </w:p>
        </w:tc>
        <w:tc>
          <w:tcPr>
            <w:tcW w:w="1276" w:type="dxa"/>
            <w:vAlign w:val="center"/>
          </w:tcPr>
          <w:p>
            <w:pPr>
              <w:spacing w:line="240" w:lineRule="auto"/>
              <w:ind w:firstLine="0" w:firstLineChars="0"/>
              <w:jc w:val="center"/>
              <w:rPr>
                <w:color w:val="000000"/>
                <w:sz w:val="24"/>
              </w:rPr>
            </w:pPr>
            <w:r>
              <w:rPr>
                <w:color w:val="000000"/>
                <w:sz w:val="24"/>
              </w:rPr>
              <w:t>9</w:t>
            </w:r>
          </w:p>
        </w:tc>
        <w:tc>
          <w:tcPr>
            <w:tcW w:w="1134" w:type="dxa"/>
            <w:vAlign w:val="center"/>
          </w:tcPr>
          <w:p>
            <w:pPr>
              <w:spacing w:line="240" w:lineRule="auto"/>
              <w:ind w:firstLine="0" w:firstLineChars="0"/>
              <w:jc w:val="center"/>
              <w:rPr>
                <w:color w:val="000000"/>
                <w:sz w:val="24"/>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pPr>
              <w:spacing w:line="240" w:lineRule="auto"/>
              <w:ind w:firstLine="0" w:firstLineChars="0"/>
              <w:jc w:val="center"/>
              <w:rPr>
                <w:b/>
                <w:sz w:val="24"/>
              </w:rPr>
            </w:pPr>
            <w:r>
              <w:rPr>
                <w:b/>
                <w:sz w:val="24"/>
              </w:rPr>
              <w:t>创新驱动</w:t>
            </w: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规模以上工业企业R&amp;D经费支出占主营业务收入的比例</w:t>
            </w:r>
          </w:p>
        </w:tc>
        <w:tc>
          <w:tcPr>
            <w:tcW w:w="847" w:type="dxa"/>
            <w:tcMar>
              <w:left w:w="28" w:type="dxa"/>
              <w:right w:w="28" w:type="dxa"/>
            </w:tcMar>
            <w:vAlign w:val="center"/>
          </w:tcPr>
          <w:p>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pPr>
              <w:spacing w:line="240" w:lineRule="auto"/>
              <w:ind w:firstLine="0" w:firstLineChars="0"/>
              <w:jc w:val="center"/>
              <w:rPr>
                <w:sz w:val="24"/>
              </w:rPr>
            </w:pPr>
            <w:r>
              <w:rPr>
                <w:sz w:val="24"/>
              </w:rPr>
              <w:t>1.6</w:t>
            </w:r>
          </w:p>
        </w:tc>
        <w:tc>
          <w:tcPr>
            <w:tcW w:w="993" w:type="dxa"/>
            <w:tcMar>
              <w:left w:w="28" w:type="dxa"/>
              <w:right w:w="28" w:type="dxa"/>
            </w:tcMar>
            <w:vAlign w:val="center"/>
          </w:tcPr>
          <w:p>
            <w:pPr>
              <w:spacing w:line="240" w:lineRule="auto"/>
              <w:ind w:firstLine="0" w:firstLineChars="0"/>
              <w:jc w:val="center"/>
              <w:rPr>
                <w:sz w:val="24"/>
              </w:rPr>
            </w:pPr>
            <w:r>
              <w:rPr>
                <w:sz w:val="24"/>
              </w:rPr>
              <w:t>2.0</w:t>
            </w:r>
          </w:p>
        </w:tc>
        <w:tc>
          <w:tcPr>
            <w:tcW w:w="992" w:type="dxa"/>
            <w:vAlign w:val="center"/>
          </w:tcPr>
          <w:p>
            <w:pPr>
              <w:spacing w:line="240" w:lineRule="auto"/>
              <w:ind w:firstLine="0" w:firstLineChars="0"/>
              <w:jc w:val="center"/>
              <w:rPr>
                <w:sz w:val="24"/>
              </w:rPr>
            </w:pPr>
            <w:r>
              <w:rPr>
                <w:sz w:val="24"/>
              </w:rPr>
              <w:t>2.14*</w:t>
            </w:r>
            <w:r>
              <w:rPr>
                <w:rStyle w:val="34"/>
                <w:sz w:val="24"/>
              </w:rPr>
              <w:footnoteReference w:id="0"/>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rFonts w:eastAsia="宋体"/>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sz w:val="24"/>
              </w:rPr>
            </w:pPr>
            <w:r>
              <w:rPr>
                <w:sz w:val="24"/>
              </w:rPr>
              <w:t>规模以上工业企业新产品产值率</w:t>
            </w:r>
          </w:p>
        </w:tc>
        <w:tc>
          <w:tcPr>
            <w:tcW w:w="847" w:type="dxa"/>
            <w:tcMar>
              <w:left w:w="28" w:type="dxa"/>
              <w:right w:w="28" w:type="dxa"/>
            </w:tcMar>
            <w:vAlign w:val="center"/>
          </w:tcPr>
          <w:p>
            <w:pPr>
              <w:spacing w:line="240" w:lineRule="auto"/>
              <w:ind w:firstLine="0" w:firstLineChars="0"/>
              <w:jc w:val="center"/>
              <w:rPr>
                <w:sz w:val="24"/>
              </w:rPr>
            </w:pPr>
            <w:r>
              <w:rPr>
                <w:sz w:val="24"/>
              </w:rPr>
              <w:t>%</w:t>
            </w:r>
          </w:p>
        </w:tc>
        <w:tc>
          <w:tcPr>
            <w:tcW w:w="1045" w:type="dxa"/>
            <w:tcMar>
              <w:left w:w="28" w:type="dxa"/>
              <w:right w:w="28" w:type="dxa"/>
            </w:tcMar>
            <w:vAlign w:val="center"/>
          </w:tcPr>
          <w:p>
            <w:pPr>
              <w:spacing w:line="240" w:lineRule="auto"/>
              <w:ind w:firstLine="0" w:firstLineChars="0"/>
              <w:jc w:val="center"/>
              <w:rPr>
                <w:sz w:val="24"/>
              </w:rPr>
            </w:pPr>
            <w:r>
              <w:rPr>
                <w:sz w:val="24"/>
              </w:rPr>
              <w:t>38.71</w:t>
            </w:r>
          </w:p>
        </w:tc>
        <w:tc>
          <w:tcPr>
            <w:tcW w:w="993" w:type="dxa"/>
            <w:tcMar>
              <w:left w:w="28" w:type="dxa"/>
              <w:right w:w="28" w:type="dxa"/>
            </w:tcMar>
            <w:vAlign w:val="center"/>
          </w:tcPr>
          <w:p>
            <w:pPr>
              <w:spacing w:line="240" w:lineRule="auto"/>
              <w:ind w:firstLine="0" w:firstLineChars="0"/>
              <w:jc w:val="center"/>
              <w:rPr>
                <w:color w:val="000000"/>
                <w:sz w:val="24"/>
              </w:rPr>
            </w:pPr>
            <w:r>
              <w:rPr>
                <w:color w:val="000000"/>
                <w:sz w:val="24"/>
              </w:rPr>
              <w:t>50</w:t>
            </w:r>
          </w:p>
        </w:tc>
        <w:tc>
          <w:tcPr>
            <w:tcW w:w="992" w:type="dxa"/>
            <w:vAlign w:val="center"/>
          </w:tcPr>
          <w:p>
            <w:pPr>
              <w:spacing w:line="240" w:lineRule="auto"/>
              <w:ind w:firstLine="0" w:firstLineChars="0"/>
              <w:jc w:val="center"/>
              <w:rPr>
                <w:sz w:val="24"/>
              </w:rPr>
            </w:pPr>
            <w:r>
              <w:rPr>
                <w:sz w:val="24"/>
              </w:rPr>
              <w:t>50.2</w:t>
            </w:r>
          </w:p>
        </w:tc>
        <w:tc>
          <w:tcPr>
            <w:tcW w:w="1276" w:type="dxa"/>
            <w:vAlign w:val="center"/>
          </w:tcPr>
          <w:p>
            <w:pPr>
              <w:spacing w:line="240" w:lineRule="auto"/>
              <w:ind w:firstLine="0" w:firstLineChars="0"/>
              <w:jc w:val="center"/>
              <w:rPr>
                <w:sz w:val="24"/>
              </w:rPr>
            </w:pPr>
            <w:r>
              <w:rPr>
                <w:sz w:val="24"/>
              </w:rPr>
              <w:t>43.48</w:t>
            </w:r>
          </w:p>
        </w:tc>
        <w:tc>
          <w:tcPr>
            <w:tcW w:w="1134" w:type="dxa"/>
            <w:vAlign w:val="center"/>
          </w:tcPr>
          <w:p>
            <w:pPr>
              <w:spacing w:line="240" w:lineRule="auto"/>
              <w:ind w:firstLine="0" w:firstLineChars="0"/>
              <w:jc w:val="center"/>
              <w:rPr>
                <w:rFonts w:eastAsia="宋体"/>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高新技术产业增加值占规上工业增加值比重</w:t>
            </w:r>
          </w:p>
        </w:tc>
        <w:tc>
          <w:tcPr>
            <w:tcW w:w="847" w:type="dxa"/>
            <w:tcMar>
              <w:left w:w="28" w:type="dxa"/>
              <w:right w:w="28" w:type="dxa"/>
            </w:tcMar>
            <w:vAlign w:val="center"/>
          </w:tcPr>
          <w:p>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pPr>
              <w:spacing w:line="240" w:lineRule="auto"/>
              <w:ind w:firstLine="0" w:firstLineChars="0"/>
              <w:jc w:val="center"/>
              <w:rPr>
                <w:sz w:val="24"/>
              </w:rPr>
            </w:pPr>
            <w:r>
              <w:rPr>
                <w:sz w:val="24"/>
              </w:rPr>
              <w:t>51.33</w:t>
            </w:r>
          </w:p>
        </w:tc>
        <w:tc>
          <w:tcPr>
            <w:tcW w:w="993" w:type="dxa"/>
            <w:tcMar>
              <w:left w:w="28" w:type="dxa"/>
              <w:right w:w="28" w:type="dxa"/>
            </w:tcMar>
            <w:vAlign w:val="center"/>
          </w:tcPr>
          <w:p>
            <w:pPr>
              <w:spacing w:line="240" w:lineRule="auto"/>
              <w:ind w:firstLine="0" w:firstLineChars="0"/>
              <w:jc w:val="center"/>
              <w:rPr>
                <w:color w:val="000000"/>
                <w:sz w:val="24"/>
              </w:rPr>
            </w:pPr>
            <w:r>
              <w:rPr>
                <w:color w:val="000000"/>
                <w:sz w:val="24"/>
              </w:rPr>
              <w:t>55</w:t>
            </w:r>
          </w:p>
        </w:tc>
        <w:tc>
          <w:tcPr>
            <w:tcW w:w="992" w:type="dxa"/>
            <w:vAlign w:val="center"/>
          </w:tcPr>
          <w:p>
            <w:pPr>
              <w:spacing w:line="240" w:lineRule="auto"/>
              <w:ind w:firstLine="0" w:firstLineChars="0"/>
              <w:jc w:val="center"/>
              <w:rPr>
                <w:color w:val="000000"/>
                <w:sz w:val="24"/>
              </w:rPr>
            </w:pPr>
            <w:r>
              <w:rPr>
                <w:color w:val="000000"/>
                <w:sz w:val="24"/>
              </w:rPr>
              <w:t>74.8</w:t>
            </w:r>
          </w:p>
        </w:tc>
        <w:tc>
          <w:tcPr>
            <w:tcW w:w="1276" w:type="dxa"/>
            <w:vAlign w:val="center"/>
          </w:tcPr>
          <w:p>
            <w:pPr>
              <w:spacing w:line="240" w:lineRule="auto"/>
              <w:ind w:firstLine="0" w:firstLineChars="0"/>
              <w:jc w:val="center"/>
              <w:rPr>
                <w:color w:val="000000"/>
                <w:sz w:val="24"/>
              </w:rPr>
            </w:pPr>
            <w:r>
              <w:rPr>
                <w:color w:val="000000"/>
                <w:sz w:val="24"/>
              </w:rPr>
              <w:t>64.2</w:t>
            </w:r>
          </w:p>
        </w:tc>
        <w:tc>
          <w:tcPr>
            <w:tcW w:w="1134" w:type="dxa"/>
            <w:vAlign w:val="center"/>
          </w:tcPr>
          <w:p>
            <w:pPr>
              <w:spacing w:line="240" w:lineRule="auto"/>
              <w:ind w:firstLine="0" w:firstLineChars="0"/>
              <w:jc w:val="center"/>
              <w:rPr>
                <w:rFonts w:eastAsia="宋体"/>
                <w:color w:val="000000"/>
                <w:sz w:val="21"/>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发明专利授权量</w:t>
            </w:r>
          </w:p>
        </w:tc>
        <w:tc>
          <w:tcPr>
            <w:tcW w:w="847" w:type="dxa"/>
            <w:tcMar>
              <w:left w:w="28" w:type="dxa"/>
              <w:right w:w="28" w:type="dxa"/>
            </w:tcMar>
            <w:vAlign w:val="center"/>
          </w:tcPr>
          <w:p>
            <w:pPr>
              <w:spacing w:line="240" w:lineRule="auto"/>
              <w:ind w:firstLine="0" w:firstLineChars="0"/>
              <w:jc w:val="center"/>
              <w:rPr>
                <w:rFonts w:eastAsia="宋体"/>
                <w:sz w:val="21"/>
              </w:rPr>
            </w:pPr>
            <w:r>
              <w:rPr>
                <w:color w:val="000000"/>
                <w:sz w:val="24"/>
              </w:rPr>
              <w:t>件</w:t>
            </w:r>
          </w:p>
        </w:tc>
        <w:tc>
          <w:tcPr>
            <w:tcW w:w="1045" w:type="dxa"/>
            <w:tcMar>
              <w:left w:w="28" w:type="dxa"/>
              <w:right w:w="28" w:type="dxa"/>
            </w:tcMar>
            <w:vAlign w:val="center"/>
          </w:tcPr>
          <w:p>
            <w:pPr>
              <w:spacing w:line="240" w:lineRule="auto"/>
              <w:ind w:firstLine="0" w:firstLineChars="0"/>
              <w:jc w:val="center"/>
              <w:rPr>
                <w:sz w:val="24"/>
              </w:rPr>
            </w:pPr>
            <w:r>
              <w:rPr>
                <w:sz w:val="24"/>
              </w:rPr>
              <w:t>499</w:t>
            </w:r>
          </w:p>
        </w:tc>
        <w:tc>
          <w:tcPr>
            <w:tcW w:w="993" w:type="dxa"/>
            <w:tcMar>
              <w:left w:w="28" w:type="dxa"/>
              <w:right w:w="28" w:type="dxa"/>
            </w:tcMar>
            <w:vAlign w:val="center"/>
          </w:tcPr>
          <w:p>
            <w:pPr>
              <w:spacing w:line="240" w:lineRule="auto"/>
              <w:ind w:firstLine="0" w:firstLineChars="0"/>
              <w:jc w:val="center"/>
              <w:rPr>
                <w:sz w:val="24"/>
              </w:rPr>
            </w:pPr>
            <w:r>
              <w:rPr>
                <w:sz w:val="24"/>
              </w:rPr>
              <w:t>800</w:t>
            </w:r>
          </w:p>
        </w:tc>
        <w:tc>
          <w:tcPr>
            <w:tcW w:w="992" w:type="dxa"/>
            <w:vAlign w:val="center"/>
          </w:tcPr>
          <w:p>
            <w:pPr>
              <w:spacing w:line="240" w:lineRule="auto"/>
              <w:ind w:firstLine="0" w:firstLineChars="0"/>
              <w:jc w:val="center"/>
              <w:rPr>
                <w:color w:val="000000"/>
                <w:sz w:val="24"/>
              </w:rPr>
            </w:pPr>
            <w:r>
              <w:rPr>
                <w:color w:val="000000"/>
                <w:sz w:val="24"/>
              </w:rPr>
              <w:t>1380</w:t>
            </w:r>
          </w:p>
        </w:tc>
        <w:tc>
          <w:tcPr>
            <w:tcW w:w="1276" w:type="dxa"/>
            <w:vAlign w:val="center"/>
          </w:tcPr>
          <w:p>
            <w:pPr>
              <w:spacing w:line="240" w:lineRule="auto"/>
              <w:ind w:firstLine="0" w:firstLineChars="0"/>
              <w:jc w:val="center"/>
              <w:rPr>
                <w:color w:val="000000"/>
                <w:sz w:val="24"/>
              </w:rPr>
            </w:pPr>
            <w:r>
              <w:rPr>
                <w:color w:val="000000"/>
                <w:sz w:val="24"/>
              </w:rPr>
              <w:t>1100</w:t>
            </w:r>
          </w:p>
        </w:tc>
        <w:tc>
          <w:tcPr>
            <w:tcW w:w="1134" w:type="dxa"/>
            <w:vAlign w:val="center"/>
          </w:tcPr>
          <w:p>
            <w:pPr>
              <w:spacing w:line="240" w:lineRule="auto"/>
              <w:ind w:firstLine="0" w:firstLineChars="0"/>
              <w:jc w:val="center"/>
              <w:rPr>
                <w:rFonts w:eastAsia="宋体"/>
                <w:color w:val="000000"/>
                <w:sz w:val="21"/>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pPr>
              <w:spacing w:line="240" w:lineRule="auto"/>
              <w:ind w:firstLine="0" w:firstLineChars="0"/>
              <w:jc w:val="center"/>
              <w:rPr>
                <w:b/>
                <w:sz w:val="24"/>
              </w:rPr>
            </w:pPr>
            <w:r>
              <w:rPr>
                <w:b/>
                <w:sz w:val="24"/>
              </w:rPr>
              <w:t>两化融合</w:t>
            </w: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信息化发展指数</w:t>
            </w:r>
          </w:p>
        </w:tc>
        <w:tc>
          <w:tcPr>
            <w:tcW w:w="847" w:type="dxa"/>
            <w:tcMar>
              <w:left w:w="28" w:type="dxa"/>
              <w:right w:w="28" w:type="dxa"/>
            </w:tcMar>
            <w:vAlign w:val="center"/>
          </w:tcPr>
          <w:p>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pPr>
              <w:spacing w:line="240" w:lineRule="auto"/>
              <w:ind w:firstLine="0" w:firstLineChars="0"/>
              <w:jc w:val="center"/>
              <w:rPr>
                <w:sz w:val="24"/>
              </w:rPr>
            </w:pPr>
            <w:r>
              <w:rPr>
                <w:sz w:val="24"/>
              </w:rPr>
              <w:t>1.26</w:t>
            </w:r>
          </w:p>
        </w:tc>
        <w:tc>
          <w:tcPr>
            <w:tcW w:w="993" w:type="dxa"/>
            <w:tcMar>
              <w:left w:w="28" w:type="dxa"/>
              <w:right w:w="28" w:type="dxa"/>
            </w:tcMar>
            <w:vAlign w:val="center"/>
          </w:tcPr>
          <w:p>
            <w:pPr>
              <w:spacing w:line="240" w:lineRule="auto"/>
              <w:ind w:firstLine="0" w:firstLineChars="0"/>
              <w:jc w:val="center"/>
              <w:rPr>
                <w:color w:val="000000"/>
                <w:sz w:val="24"/>
              </w:rPr>
            </w:pPr>
            <w:r>
              <w:rPr>
                <w:color w:val="000000"/>
                <w:sz w:val="24"/>
              </w:rPr>
              <w:t>1.50</w:t>
            </w:r>
          </w:p>
        </w:tc>
        <w:tc>
          <w:tcPr>
            <w:tcW w:w="992" w:type="dxa"/>
            <w:vAlign w:val="center"/>
          </w:tcPr>
          <w:p>
            <w:pPr>
              <w:spacing w:line="240" w:lineRule="auto"/>
              <w:ind w:firstLine="0" w:firstLineChars="0"/>
              <w:jc w:val="center"/>
              <w:rPr>
                <w:sz w:val="24"/>
              </w:rPr>
            </w:pPr>
            <w:r>
              <w:rPr>
                <w:sz w:val="24"/>
              </w:rPr>
              <w:t>113.6</w:t>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rFonts w:eastAsia="宋体"/>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sz w:val="24"/>
              </w:rPr>
            </w:pPr>
            <w:r>
              <w:rPr>
                <w:sz w:val="24"/>
              </w:rPr>
              <w:t>两化融合发展指数</w:t>
            </w:r>
          </w:p>
        </w:tc>
        <w:tc>
          <w:tcPr>
            <w:tcW w:w="847" w:type="dxa"/>
            <w:tcMar>
              <w:left w:w="28" w:type="dxa"/>
              <w:right w:w="28" w:type="dxa"/>
            </w:tcMar>
            <w:vAlign w:val="center"/>
          </w:tcPr>
          <w:p>
            <w:pPr>
              <w:spacing w:line="240" w:lineRule="auto"/>
              <w:ind w:firstLine="0" w:firstLineChars="0"/>
              <w:jc w:val="center"/>
              <w:rPr>
                <w:sz w:val="24"/>
              </w:rPr>
            </w:pPr>
            <w:r>
              <w:rPr>
                <w:sz w:val="24"/>
              </w:rPr>
              <w:t>-</w:t>
            </w:r>
          </w:p>
        </w:tc>
        <w:tc>
          <w:tcPr>
            <w:tcW w:w="1045" w:type="dxa"/>
            <w:tcMar>
              <w:left w:w="28" w:type="dxa"/>
              <w:right w:w="28" w:type="dxa"/>
            </w:tcMar>
            <w:vAlign w:val="center"/>
          </w:tcPr>
          <w:p>
            <w:pPr>
              <w:spacing w:line="240" w:lineRule="auto"/>
              <w:ind w:firstLine="0" w:firstLineChars="0"/>
              <w:jc w:val="center"/>
              <w:rPr>
                <w:sz w:val="24"/>
              </w:rPr>
            </w:pPr>
            <w:r>
              <w:rPr>
                <w:sz w:val="24"/>
              </w:rPr>
              <w:t>86.58</w:t>
            </w:r>
          </w:p>
        </w:tc>
        <w:tc>
          <w:tcPr>
            <w:tcW w:w="993" w:type="dxa"/>
            <w:tcMar>
              <w:left w:w="28" w:type="dxa"/>
              <w:right w:w="28" w:type="dxa"/>
            </w:tcMar>
            <w:vAlign w:val="center"/>
          </w:tcPr>
          <w:p>
            <w:pPr>
              <w:spacing w:line="240" w:lineRule="auto"/>
              <w:ind w:firstLine="0" w:firstLineChars="0"/>
              <w:jc w:val="center"/>
              <w:rPr>
                <w:sz w:val="24"/>
              </w:rPr>
            </w:pPr>
            <w:r>
              <w:rPr>
                <w:sz w:val="24"/>
              </w:rPr>
              <w:t>100</w:t>
            </w:r>
          </w:p>
        </w:tc>
        <w:tc>
          <w:tcPr>
            <w:tcW w:w="992" w:type="dxa"/>
            <w:vAlign w:val="center"/>
          </w:tcPr>
          <w:p>
            <w:pPr>
              <w:spacing w:line="240" w:lineRule="auto"/>
              <w:ind w:firstLine="0" w:firstLineChars="0"/>
              <w:jc w:val="center"/>
              <w:rPr>
                <w:sz w:val="24"/>
              </w:rPr>
            </w:pPr>
            <w:r>
              <w:rPr>
                <w:sz w:val="24"/>
              </w:rPr>
              <w:t>113.38</w:t>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rFonts w:eastAsia="宋体"/>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pPr>
              <w:spacing w:line="240" w:lineRule="auto"/>
              <w:ind w:firstLine="0" w:firstLineChars="0"/>
              <w:jc w:val="center"/>
              <w:rPr>
                <w:b/>
                <w:sz w:val="24"/>
              </w:rPr>
            </w:pPr>
            <w:r>
              <w:rPr>
                <w:b/>
                <w:sz w:val="24"/>
              </w:rPr>
              <w:t>绿色发展</w:t>
            </w:r>
          </w:p>
        </w:tc>
        <w:tc>
          <w:tcPr>
            <w:tcW w:w="3265" w:type="dxa"/>
            <w:tcMar>
              <w:left w:w="28" w:type="dxa"/>
              <w:right w:w="28" w:type="dxa"/>
            </w:tcMar>
            <w:vAlign w:val="center"/>
          </w:tcPr>
          <w:p>
            <w:pPr>
              <w:spacing w:line="240" w:lineRule="auto"/>
              <w:ind w:firstLine="0" w:firstLineChars="0"/>
              <w:rPr>
                <w:color w:val="000000"/>
                <w:sz w:val="24"/>
              </w:rPr>
            </w:pPr>
            <w:r>
              <w:rPr>
                <w:color w:val="000000"/>
                <w:sz w:val="24"/>
              </w:rPr>
              <w:t>规模以上工业单位工业用地增加值</w:t>
            </w:r>
          </w:p>
        </w:tc>
        <w:tc>
          <w:tcPr>
            <w:tcW w:w="847" w:type="dxa"/>
            <w:tcMar>
              <w:left w:w="28" w:type="dxa"/>
              <w:right w:w="28" w:type="dxa"/>
            </w:tcMar>
            <w:vAlign w:val="center"/>
          </w:tcPr>
          <w:p>
            <w:pPr>
              <w:spacing w:line="240" w:lineRule="auto"/>
              <w:ind w:firstLine="0" w:firstLineChars="0"/>
              <w:jc w:val="center"/>
              <w:rPr>
                <w:color w:val="000000"/>
                <w:sz w:val="24"/>
              </w:rPr>
            </w:pPr>
            <w:r>
              <w:rPr>
                <w:color w:val="000000"/>
                <w:sz w:val="24"/>
              </w:rPr>
              <w:t>万元/亩</w:t>
            </w:r>
          </w:p>
        </w:tc>
        <w:tc>
          <w:tcPr>
            <w:tcW w:w="1045" w:type="dxa"/>
            <w:tcMar>
              <w:left w:w="28" w:type="dxa"/>
              <w:right w:w="28" w:type="dxa"/>
            </w:tcMar>
            <w:vAlign w:val="center"/>
          </w:tcPr>
          <w:p>
            <w:pPr>
              <w:spacing w:line="240" w:lineRule="auto"/>
              <w:ind w:firstLine="0" w:firstLineChars="0"/>
              <w:jc w:val="center"/>
              <w:rPr>
                <w:sz w:val="24"/>
              </w:rPr>
            </w:pPr>
            <w:r>
              <w:rPr>
                <w:sz w:val="24"/>
              </w:rPr>
              <w:t>99.84</w:t>
            </w:r>
          </w:p>
        </w:tc>
        <w:tc>
          <w:tcPr>
            <w:tcW w:w="993" w:type="dxa"/>
            <w:tcMar>
              <w:left w:w="28" w:type="dxa"/>
              <w:right w:w="28" w:type="dxa"/>
            </w:tcMar>
            <w:vAlign w:val="center"/>
          </w:tcPr>
          <w:p>
            <w:pPr>
              <w:spacing w:line="240" w:lineRule="auto"/>
              <w:ind w:firstLine="0" w:firstLineChars="0"/>
              <w:jc w:val="center"/>
              <w:rPr>
                <w:color w:val="000000"/>
                <w:sz w:val="24"/>
              </w:rPr>
            </w:pPr>
            <w:r>
              <w:rPr>
                <w:sz w:val="24"/>
              </w:rPr>
              <w:t>按上级要求</w:t>
            </w:r>
          </w:p>
        </w:tc>
        <w:tc>
          <w:tcPr>
            <w:tcW w:w="992" w:type="dxa"/>
            <w:vAlign w:val="center"/>
          </w:tcPr>
          <w:p>
            <w:pPr>
              <w:spacing w:line="240" w:lineRule="auto"/>
              <w:ind w:firstLine="0" w:firstLineChars="0"/>
              <w:jc w:val="center"/>
              <w:rPr>
                <w:sz w:val="24"/>
              </w:rPr>
            </w:pPr>
            <w:r>
              <w:rPr>
                <w:sz w:val="24"/>
              </w:rPr>
              <w:t>176.35</w:t>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sz w:val="24"/>
              </w:rPr>
            </w:pPr>
            <w:r>
              <w:rPr>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sz w:val="24"/>
              </w:rPr>
            </w:pPr>
            <w:r>
              <w:rPr>
                <w:sz w:val="24"/>
              </w:rPr>
              <w:t>规模以上工业单位能耗工业增加值</w:t>
            </w:r>
          </w:p>
        </w:tc>
        <w:tc>
          <w:tcPr>
            <w:tcW w:w="847" w:type="dxa"/>
            <w:tcMar>
              <w:left w:w="28" w:type="dxa"/>
              <w:right w:w="28" w:type="dxa"/>
            </w:tcMar>
            <w:vAlign w:val="center"/>
          </w:tcPr>
          <w:p>
            <w:pPr>
              <w:spacing w:line="240" w:lineRule="auto"/>
              <w:ind w:firstLine="0" w:firstLineChars="0"/>
              <w:jc w:val="center"/>
              <w:rPr>
                <w:sz w:val="24"/>
              </w:rPr>
            </w:pPr>
            <w:r>
              <w:rPr>
                <w:sz w:val="24"/>
              </w:rPr>
              <w:t>万元/吨标煤</w:t>
            </w:r>
          </w:p>
        </w:tc>
        <w:tc>
          <w:tcPr>
            <w:tcW w:w="1045" w:type="dxa"/>
            <w:tcMar>
              <w:left w:w="28" w:type="dxa"/>
              <w:right w:w="28" w:type="dxa"/>
            </w:tcMar>
            <w:vAlign w:val="center"/>
          </w:tcPr>
          <w:p>
            <w:pPr>
              <w:spacing w:line="240" w:lineRule="auto"/>
              <w:ind w:firstLine="0" w:firstLineChars="0"/>
              <w:jc w:val="center"/>
              <w:rPr>
                <w:sz w:val="24"/>
              </w:rPr>
            </w:pPr>
            <w:r>
              <w:rPr>
                <w:sz w:val="24"/>
              </w:rPr>
              <w:t>2.28</w:t>
            </w:r>
          </w:p>
        </w:tc>
        <w:tc>
          <w:tcPr>
            <w:tcW w:w="993" w:type="dxa"/>
            <w:tcMar>
              <w:left w:w="28" w:type="dxa"/>
              <w:right w:w="28" w:type="dxa"/>
            </w:tcMar>
            <w:vAlign w:val="center"/>
          </w:tcPr>
          <w:p>
            <w:pPr>
              <w:spacing w:line="240" w:lineRule="auto"/>
              <w:ind w:firstLine="0" w:firstLineChars="0"/>
              <w:jc w:val="center"/>
              <w:rPr>
                <w:sz w:val="24"/>
              </w:rPr>
            </w:pPr>
            <w:r>
              <w:rPr>
                <w:sz w:val="24"/>
              </w:rPr>
              <w:t>按上级要求</w:t>
            </w:r>
          </w:p>
        </w:tc>
        <w:tc>
          <w:tcPr>
            <w:tcW w:w="992" w:type="dxa"/>
            <w:vAlign w:val="center"/>
          </w:tcPr>
          <w:p>
            <w:pPr>
              <w:spacing w:line="240" w:lineRule="auto"/>
              <w:ind w:firstLine="0" w:firstLineChars="0"/>
              <w:jc w:val="center"/>
              <w:rPr>
                <w:sz w:val="24"/>
              </w:rPr>
            </w:pPr>
            <w:r>
              <w:rPr>
                <w:sz w:val="24"/>
              </w:rPr>
              <w:t>3.51</w:t>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sz w:val="24"/>
              </w:rPr>
            </w:pPr>
            <w:r>
              <w:rPr>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pPr>
              <w:spacing w:line="240" w:lineRule="auto"/>
              <w:ind w:firstLine="0" w:firstLineChars="0"/>
              <w:jc w:val="center"/>
              <w:rPr>
                <w:b/>
                <w:sz w:val="24"/>
              </w:rPr>
            </w:pPr>
          </w:p>
        </w:tc>
        <w:tc>
          <w:tcPr>
            <w:tcW w:w="3265" w:type="dxa"/>
            <w:tcMar>
              <w:left w:w="28" w:type="dxa"/>
              <w:right w:w="28" w:type="dxa"/>
            </w:tcMar>
            <w:vAlign w:val="center"/>
          </w:tcPr>
          <w:p>
            <w:pPr>
              <w:spacing w:line="240" w:lineRule="auto"/>
              <w:ind w:firstLine="0" w:firstLineChars="0"/>
              <w:rPr>
                <w:sz w:val="24"/>
              </w:rPr>
            </w:pPr>
            <w:r>
              <w:rPr>
                <w:sz w:val="24"/>
              </w:rPr>
              <w:t>规模以上工业单位水耗工业增加值</w:t>
            </w:r>
          </w:p>
        </w:tc>
        <w:tc>
          <w:tcPr>
            <w:tcW w:w="847" w:type="dxa"/>
            <w:tcMar>
              <w:left w:w="28" w:type="dxa"/>
              <w:right w:w="28" w:type="dxa"/>
            </w:tcMar>
            <w:vAlign w:val="center"/>
          </w:tcPr>
          <w:p>
            <w:pPr>
              <w:spacing w:line="240" w:lineRule="auto"/>
              <w:ind w:firstLine="0" w:firstLineChars="0"/>
              <w:jc w:val="center"/>
              <w:rPr>
                <w:sz w:val="24"/>
              </w:rPr>
            </w:pPr>
            <w:r>
              <w:rPr>
                <w:sz w:val="24"/>
              </w:rPr>
              <w:t>元/立方米</w:t>
            </w:r>
          </w:p>
        </w:tc>
        <w:tc>
          <w:tcPr>
            <w:tcW w:w="1045" w:type="dxa"/>
            <w:tcMar>
              <w:left w:w="28" w:type="dxa"/>
              <w:right w:w="28" w:type="dxa"/>
            </w:tcMar>
            <w:vAlign w:val="center"/>
          </w:tcPr>
          <w:p>
            <w:pPr>
              <w:spacing w:line="240" w:lineRule="auto"/>
              <w:ind w:firstLine="0" w:firstLineChars="0"/>
              <w:jc w:val="center"/>
              <w:rPr>
                <w:sz w:val="24"/>
              </w:rPr>
            </w:pPr>
            <w:r>
              <w:rPr>
                <w:sz w:val="24"/>
              </w:rPr>
              <w:t>267.29</w:t>
            </w:r>
          </w:p>
        </w:tc>
        <w:tc>
          <w:tcPr>
            <w:tcW w:w="993" w:type="dxa"/>
            <w:tcMar>
              <w:left w:w="28" w:type="dxa"/>
              <w:right w:w="28" w:type="dxa"/>
            </w:tcMar>
            <w:vAlign w:val="center"/>
          </w:tcPr>
          <w:p>
            <w:pPr>
              <w:spacing w:line="240" w:lineRule="auto"/>
              <w:ind w:firstLine="0" w:firstLineChars="0"/>
              <w:jc w:val="center"/>
              <w:rPr>
                <w:sz w:val="24"/>
              </w:rPr>
            </w:pPr>
            <w:r>
              <w:rPr>
                <w:sz w:val="24"/>
              </w:rPr>
              <w:t>按上级要求</w:t>
            </w:r>
          </w:p>
        </w:tc>
        <w:tc>
          <w:tcPr>
            <w:tcW w:w="992" w:type="dxa"/>
            <w:vAlign w:val="center"/>
          </w:tcPr>
          <w:p>
            <w:pPr>
              <w:spacing w:line="240" w:lineRule="auto"/>
              <w:ind w:firstLine="0" w:firstLineChars="0"/>
              <w:jc w:val="center"/>
              <w:rPr>
                <w:sz w:val="24"/>
              </w:rPr>
            </w:pPr>
            <w:r>
              <w:rPr>
                <w:sz w:val="24"/>
              </w:rPr>
              <w:t>--</w:t>
            </w:r>
          </w:p>
        </w:tc>
        <w:tc>
          <w:tcPr>
            <w:tcW w:w="1276" w:type="dxa"/>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sz w:val="24"/>
              </w:rPr>
            </w:pPr>
            <w:r>
              <w:rPr>
                <w:sz w:val="24"/>
              </w:rPr>
              <w:t>约束性</w:t>
            </w:r>
          </w:p>
        </w:tc>
      </w:tr>
      <w:bookmarkEnd w:id="11"/>
    </w:tbl>
    <w:p>
      <w:pPr>
        <w:spacing w:line="600" w:lineRule="exact"/>
        <w:ind w:firstLine="640"/>
        <w:rPr>
          <w:rFonts w:eastAsia="楷体_GB2312"/>
          <w:bCs/>
          <w:szCs w:val="32"/>
        </w:rPr>
      </w:pPr>
      <w:bookmarkStart w:id="12" w:name="_Toc53403227"/>
      <w:bookmarkStart w:id="13" w:name="_Toc50385795"/>
    </w:p>
    <w:p>
      <w:pPr>
        <w:spacing w:line="600" w:lineRule="exact"/>
        <w:ind w:firstLine="640"/>
        <w:outlineLvl w:val="1"/>
        <w:rPr>
          <w:rFonts w:eastAsia="楷体_GB2312"/>
          <w:bCs/>
          <w:szCs w:val="32"/>
        </w:rPr>
      </w:pPr>
      <w:bookmarkStart w:id="14" w:name="_Toc94109597"/>
      <w:r>
        <w:rPr>
          <w:rFonts w:eastAsia="楷体_GB2312"/>
          <w:bCs/>
          <w:szCs w:val="32"/>
        </w:rPr>
        <w:t>（二）存在问题</w:t>
      </w:r>
      <w:bookmarkEnd w:id="12"/>
      <w:bookmarkEnd w:id="13"/>
      <w:bookmarkEnd w:id="14"/>
    </w:p>
    <w:p>
      <w:pPr>
        <w:spacing w:line="600" w:lineRule="exact"/>
        <w:ind w:firstLine="643"/>
      </w:pPr>
      <w:r>
        <w:rPr>
          <w:b/>
          <w:bCs/>
        </w:rPr>
        <w:t>1．工业规模比重较小，发展质效仍待提升。</w:t>
      </w:r>
      <w:r>
        <w:t>近年来，余杭工业投资相对不足，且新建类项目偏少，投资规模超5亿的大项目数量少，特别是区划调整后，2020年余杭规上工业增加值占GDP比重进一步下降为8.33%，规上工业全员劳动生产率、规上工业亩均增加值、亩均税收等主要指标略低于临平区，工业发展质量亟待提升。</w:t>
      </w:r>
    </w:p>
    <w:p>
      <w:pPr>
        <w:spacing w:line="600" w:lineRule="exact"/>
        <w:ind w:firstLine="643"/>
        <w:rPr>
          <w:b/>
          <w:bCs/>
        </w:rPr>
      </w:pPr>
      <w:r>
        <w:rPr>
          <w:b/>
          <w:bCs/>
        </w:rPr>
        <w:t>2．产业结构有待优化，</w:t>
      </w:r>
      <w:r>
        <w:rPr>
          <w:rFonts w:hint="eastAsia"/>
          <w:b/>
          <w:bCs/>
        </w:rPr>
        <w:t>制造</w:t>
      </w:r>
      <w:r>
        <w:rPr>
          <w:b/>
          <w:bCs/>
        </w:rPr>
        <w:t>配套体系不全。</w:t>
      </w:r>
      <w:r>
        <w:t>我区传统制造业规模占比较大，战略性新兴产业企业“量大面广”但规模较小，新旧动能接续转换亟待稳步推进。同时，产业总体偏“软”，数字经济制造部分占核心产业比重较小，</w:t>
      </w:r>
      <w:r>
        <w:rPr>
          <w:szCs w:val="32"/>
        </w:rPr>
        <w:t>“芯”“屏”等基础核心制造环节缺失；</w:t>
      </w:r>
      <w:r>
        <w:t>生物医药产业以创新研发和数据服务为主，医疗器械和医用材料等领域制造环节规模较小，硬核能力亟待补强。</w:t>
      </w:r>
    </w:p>
    <w:p>
      <w:pPr>
        <w:spacing w:line="600" w:lineRule="exact"/>
        <w:ind w:firstLine="643"/>
      </w:pPr>
      <w:r>
        <w:rPr>
          <w:b/>
          <w:bCs/>
        </w:rPr>
        <w:t>3．平台效益有待提升，协同机制亟待深化。</w:t>
      </w:r>
      <w:r>
        <w:t>随着我区城市化进程加快，以及受城市规划、环境保护等因素影响，制造业发展空间制约明显，同时现有镇街工业园区和工业功能区</w:t>
      </w:r>
      <w:r>
        <w:rPr>
          <w:kern w:val="21"/>
          <w:szCs w:val="32"/>
        </w:rPr>
        <w:t>分布零散、</w:t>
      </w:r>
      <w:r>
        <w:t>定位模糊、亩均产出不高，园区间的有机协同联动不足；工业用地利用效率较低，容积率低于1.2的工业用地面积占40%，</w:t>
      </w:r>
      <w:r>
        <w:rPr>
          <w:kern w:val="21"/>
          <w:szCs w:val="32"/>
        </w:rPr>
        <w:t>亟待更新盘活</w:t>
      </w:r>
      <w:r>
        <w:t>。</w:t>
      </w:r>
    </w:p>
    <w:p>
      <w:pPr>
        <w:spacing w:line="600" w:lineRule="exact"/>
        <w:ind w:firstLine="643"/>
      </w:pPr>
      <w:r>
        <w:rPr>
          <w:b/>
          <w:bCs/>
        </w:rPr>
        <w:t>4．龙头创新引领不强，引擎担当有待强化。</w:t>
      </w:r>
      <w:r>
        <w:t>“十三五”期间，浙江省在余杭部署了一批创新重器，但之江实验室、湖畔实验室、良渚实验室等基础创新平台还处于建设期，科技突破尚待时日，与余杭制造企业间的合作和成果转化机制尚需探索，对余杭制造业创新的带动作用和辐射全省的创新引擎作用有待发挥。同时，区内缺少10亿元以上制造业龙头骨干，企业创新引领性不足，承担国家省部署的工业强基、产业链协同创新等重大创新项目较少。</w:t>
      </w:r>
    </w:p>
    <w:p>
      <w:pPr>
        <w:spacing w:line="600" w:lineRule="exact"/>
        <w:ind w:firstLine="640"/>
        <w:outlineLvl w:val="1"/>
      </w:pPr>
      <w:bookmarkStart w:id="15" w:name="_Toc94109598"/>
      <w:r>
        <w:rPr>
          <w:rFonts w:eastAsia="楷体_GB2312"/>
          <w:bCs/>
          <w:szCs w:val="32"/>
        </w:rPr>
        <w:t>（三）面临形势</w:t>
      </w:r>
      <w:bookmarkEnd w:id="15"/>
    </w:p>
    <w:p>
      <w:pPr>
        <w:spacing w:line="600" w:lineRule="exact"/>
        <w:ind w:firstLine="643"/>
      </w:pPr>
      <w:r>
        <w:rPr>
          <w:b/>
          <w:bCs/>
        </w:rPr>
        <w:t>1．全球格局重大调整带来发展新形势。</w:t>
      </w:r>
      <w:r>
        <w:t>当前，世界面临“百年未有之大变局”，新冠肺炎全球大流行，经济增速放缓、国际贸易萎缩，不稳定不确定因素明显增多；中美战略博弈趋向长期化、复杂化，经济全球化遭遇逆流，</w:t>
      </w:r>
      <w:r>
        <w:rPr>
          <w:szCs w:val="32"/>
        </w:rPr>
        <w:t>全球产业链供应链布局加快向本土化、区域化、分散化转变，</w:t>
      </w:r>
      <w:r>
        <w:t>制造业发展环境日趋复杂</w:t>
      </w:r>
      <w:r>
        <w:rPr>
          <w:szCs w:val="32"/>
        </w:rPr>
        <w:t>，</w:t>
      </w:r>
      <w:r>
        <w:t>全球精准合作面临挑战。同时，新一轮</w:t>
      </w:r>
      <w:r>
        <w:rPr>
          <w:szCs w:val="32"/>
        </w:rPr>
        <w:t>科技革命加速制造步入</w:t>
      </w:r>
      <w:r>
        <w:t>数字赋能新范式，人工智能、生命科学、前沿材料</w:t>
      </w:r>
      <w:r>
        <w:rPr>
          <w:szCs w:val="32"/>
        </w:rPr>
        <w:t>等领域技术出现群体性突破，正以更快速度、更广范围整合和重构全球价值链条。</w:t>
      </w:r>
    </w:p>
    <w:p>
      <w:pPr>
        <w:spacing w:line="600" w:lineRule="exact"/>
        <w:ind w:firstLine="643"/>
      </w:pPr>
      <w:r>
        <w:rPr>
          <w:b/>
          <w:bCs/>
          <w:szCs w:val="32"/>
        </w:rPr>
        <w:t>2．我国开启</w:t>
      </w:r>
      <w:r>
        <w:rPr>
          <w:b/>
          <w:bCs/>
        </w:rPr>
        <w:t>全面建设社会主义现代化国家新征程</w:t>
      </w:r>
      <w:r>
        <w:t>。</w:t>
      </w:r>
      <w:r>
        <w:rPr>
          <w:szCs w:val="32"/>
        </w:rPr>
        <w:t>“十四五”</w:t>
      </w:r>
      <w:r>
        <w:rPr>
          <w:bCs/>
          <w:szCs w:val="32"/>
        </w:rPr>
        <w:t>时期是我国“两个一百年”奋斗目标的历史交汇期，是我国由中等收入国家迈向高收入国家、由中高速增长转向高质量发展的关键时期。同时，面对国内外环境的显著变化，“逐步形成以国内大循环为主体、国内国际双循环相互促进的新发展格局”成为我国推动开放型经济向更高层次发展的重大战略部署。面对重大历史使命，余杭应将制造业作为构建现代化经济体系、推动经济由量大转向质强的重要一环，加快推进产业转型升级，着力突破关键核心技术，促进新旧动能转换，打赢产业基础高级化和产业链现代化攻坚战，全面推动制造业迈向全球价值链高端。</w:t>
      </w:r>
    </w:p>
    <w:p>
      <w:pPr>
        <w:spacing w:line="600" w:lineRule="exact"/>
        <w:ind w:firstLine="643"/>
        <w:rPr>
          <w:bCs/>
          <w:szCs w:val="32"/>
        </w:rPr>
      </w:pPr>
      <w:r>
        <w:rPr>
          <w:b/>
          <w:bCs/>
          <w:szCs w:val="32"/>
        </w:rPr>
        <w:t>3．浙江锚定全球先进制造业基地新目标。</w:t>
      </w:r>
      <w:r>
        <w:rPr>
          <w:bCs/>
          <w:szCs w:val="32"/>
        </w:rPr>
        <w:t>习近平总书记在浙江考察时，赋予浙江“努力成为新时代全面展示中国特色社会主义制度优越性的重要窗口”的新目标新定位，近来，中央又赋予了浙江高质量发展建设共同富裕示范区这个新角色。浙江将建设成为全球先进制造业基地作为建设“重要窗口”的重大标志性的成果之一，明确构建“415”先进制造业集群体系、打造十大标志性产业链的发展方向。余杭作为浙江省经济强区、创新资源集聚地、数字经济发展高地，要勇于担当，围绕标志性产业链建设，积极承担关键环节突破与协同创新任务，以科技与数字优势赋能全省制造业高质量发展，成为“重要窗口”和“共同富裕示范区”建设排头兵、领头雁。</w:t>
      </w:r>
    </w:p>
    <w:p>
      <w:pPr>
        <w:spacing w:line="600" w:lineRule="exact"/>
        <w:ind w:firstLine="643"/>
        <w:rPr>
          <w:color w:val="191919"/>
          <w:shd w:val="clear" w:color="auto" w:fill="FFFFFF"/>
        </w:rPr>
      </w:pPr>
      <w:r>
        <w:rPr>
          <w:b/>
          <w:bCs/>
          <w:szCs w:val="32"/>
        </w:rPr>
        <w:t>4．杭州全面推进“新制造业计划”发展新路径。</w:t>
      </w:r>
      <w:r>
        <w:rPr>
          <w:bCs/>
          <w:szCs w:val="32"/>
        </w:rPr>
        <w:t>杭州作为历史上的工业重镇，近年来制造业发展面临总量、增速、投资、产业层次、企业吸附能力等不足的问题。“十三五”末期，杭州市启动实施</w:t>
      </w:r>
      <w:r>
        <w:rPr>
          <w:color w:val="333333"/>
          <w:shd w:val="clear" w:color="auto" w:fill="FFFFFF"/>
        </w:rPr>
        <w:t>“新制造业计划”，以供给侧结构性改革为主线，坚持高端化、智能化、绿色化、服务化，推进增总量、优存量、促增量、提质量，构建数字经济和制造业“双引擎”驱动经济高质量发展。这一决策部署，为新时代余杭制造业高质量发展明确了</w:t>
      </w:r>
      <w:r>
        <w:rPr>
          <w:color w:val="191919"/>
          <w:shd w:val="clear" w:color="auto" w:fill="FFFFFF"/>
        </w:rPr>
        <w:t>新要求、新目标、新使命。</w:t>
      </w:r>
    </w:p>
    <w:p>
      <w:pPr>
        <w:spacing w:line="600" w:lineRule="exact"/>
        <w:ind w:firstLine="640"/>
        <w:rPr>
          <w:szCs w:val="32"/>
        </w:rPr>
      </w:pPr>
      <w:r>
        <w:rPr>
          <w:szCs w:val="32"/>
        </w:rPr>
        <w:t>总的来看，</w:t>
      </w:r>
      <w:r>
        <w:rPr>
          <w:kern w:val="0"/>
        </w:rPr>
        <w:t>“两个一百年”交汇之际、奋进“十四五”起步之时，经国务院批准，余杭区行政区划调整，推动空间大重构、资源大调整、发展大提速。</w:t>
      </w:r>
      <w:r>
        <w:rPr>
          <w:szCs w:val="32"/>
        </w:rPr>
        <w:t>区第十五次党代会更进一步提出，“持续深化‘三个全域’建设，全力创建‘综合性国家科学中心核心区、全国共同富裕示范先行区、全面数字化改革引领区’”。但同时，制造业总体发展“短腿”问题更加严重，新兴产业到了“破茧成蝶”的关键时期，发展空间制约更加明显。因此，在“十四五”时期，余杭制造业必须要进行一场彻底的、根本性的变革，以集聚集约、产城融合为发展模式，以先进制造业及产业链中科技含量高、附加值高的关键环节为产业发展重点，以重大政策、重大改革为主要保证，走出一条科技引领、数字赋能、服务融合的新制造业发展之路，同时担当起全省创新引擎的使命责任，积极赋能全省制造业高质量发展。</w:t>
      </w:r>
    </w:p>
    <w:p>
      <w:pPr>
        <w:pStyle w:val="7"/>
        <w:ind w:firstLine="640"/>
        <w:rPr>
          <w:rFonts w:cs="Times New Roman"/>
        </w:rPr>
        <w:sectPr>
          <w:footerReference r:id="rId10" w:type="default"/>
          <w:type w:val="oddPage"/>
          <w:pgSz w:w="11906" w:h="16838"/>
          <w:pgMar w:top="1440" w:right="1800" w:bottom="1440" w:left="1800" w:header="851" w:footer="992" w:gutter="0"/>
          <w:pgNumType w:fmt="numberInDash" w:start="1"/>
          <w:cols w:space="720" w:num="1"/>
          <w:docGrid w:type="lines" w:linePitch="312" w:charSpace="0"/>
        </w:sectPr>
      </w:pPr>
    </w:p>
    <w:p>
      <w:pPr>
        <w:spacing w:line="600" w:lineRule="exact"/>
        <w:ind w:firstLine="640"/>
        <w:outlineLvl w:val="0"/>
        <w:rPr>
          <w:rFonts w:eastAsia="黑体"/>
          <w:bCs/>
          <w:szCs w:val="32"/>
        </w:rPr>
      </w:pPr>
      <w:bookmarkStart w:id="16" w:name="_Toc50385801"/>
      <w:bookmarkStart w:id="17" w:name="_Toc53403233"/>
      <w:bookmarkStart w:id="18" w:name="_Toc94109599"/>
      <w:r>
        <w:rPr>
          <w:rFonts w:eastAsia="黑体"/>
          <w:bCs/>
          <w:szCs w:val="32"/>
        </w:rPr>
        <w:t>二、总体思路</w:t>
      </w:r>
      <w:bookmarkEnd w:id="16"/>
      <w:bookmarkEnd w:id="17"/>
      <w:bookmarkEnd w:id="18"/>
    </w:p>
    <w:p>
      <w:pPr>
        <w:spacing w:line="600" w:lineRule="exact"/>
        <w:ind w:firstLine="640"/>
        <w:outlineLvl w:val="1"/>
        <w:rPr>
          <w:rFonts w:eastAsia="楷体_GB2312"/>
          <w:bCs/>
          <w:szCs w:val="32"/>
        </w:rPr>
      </w:pPr>
      <w:bookmarkStart w:id="19" w:name="_Toc50385802"/>
      <w:bookmarkStart w:id="20" w:name="_Toc53403234"/>
      <w:bookmarkStart w:id="21" w:name="_Toc94109600"/>
      <w:r>
        <w:rPr>
          <w:rFonts w:eastAsia="楷体_GB2312"/>
          <w:bCs/>
          <w:szCs w:val="32"/>
        </w:rPr>
        <w:t>（一）指导思想</w:t>
      </w:r>
      <w:bookmarkEnd w:id="19"/>
      <w:bookmarkEnd w:id="20"/>
      <w:bookmarkEnd w:id="21"/>
    </w:p>
    <w:p>
      <w:pPr>
        <w:spacing w:line="600" w:lineRule="exact"/>
        <w:ind w:firstLine="640"/>
        <w:rPr>
          <w:szCs w:val="30"/>
        </w:rPr>
      </w:pPr>
      <w:r>
        <w:rPr>
          <w:rFonts w:hint="eastAsia"/>
          <w:szCs w:val="30"/>
        </w:rPr>
        <w:t>以习近平新时代中国特色社会主义思想为指导，深入贯彻党的十九大和十九届二中、三中、四中、五中、六中全会精神，以及习近平总书记在庆祝中国共产党成立100周年大会上的重要讲话和考察浙江、杭州时的重要讲话精神，立足新发展阶段，贯彻新发展理念，构建新发展格局，忠实践行“八八战略”，奋力争当展示“重要窗口”和共同富裕示范区排头兵，聚焦“四高地一基地”建设，聚力打好产业基础高级化、产业链现代化攻坚战，以数字化改革引领质量变革、效率变革、动力变革，以创新和数字为双轮驱动，推动制造业高端化、品质化、绿色化发展，构建形成新兴有力主导、传统全面转型、前沿加快布局的现代产业体系，将余杭打造成全球未来产业引领地、全国产业创新策源地、全省都市制造标杆地，努力为省市发展大局贡献更大余杭力量。</w:t>
      </w:r>
    </w:p>
    <w:p>
      <w:pPr>
        <w:spacing w:line="600" w:lineRule="exact"/>
        <w:ind w:firstLine="640"/>
        <w:outlineLvl w:val="1"/>
        <w:rPr>
          <w:rFonts w:eastAsia="楷体_GB2312"/>
          <w:bCs/>
          <w:szCs w:val="32"/>
        </w:rPr>
      </w:pPr>
      <w:bookmarkStart w:id="22" w:name="_Toc53403235"/>
      <w:bookmarkStart w:id="23" w:name="_Toc50385803"/>
      <w:bookmarkStart w:id="24" w:name="_Toc94109601"/>
      <w:r>
        <w:rPr>
          <w:rFonts w:eastAsia="楷体_GB2312"/>
          <w:bCs/>
          <w:szCs w:val="32"/>
        </w:rPr>
        <w:t>（二）</w:t>
      </w:r>
      <w:bookmarkEnd w:id="22"/>
      <w:bookmarkEnd w:id="23"/>
      <w:r>
        <w:rPr>
          <w:rFonts w:eastAsia="楷体_GB2312"/>
          <w:bCs/>
          <w:szCs w:val="32"/>
        </w:rPr>
        <w:t>发展定位</w:t>
      </w:r>
      <w:bookmarkEnd w:id="24"/>
    </w:p>
    <w:p>
      <w:pPr>
        <w:spacing w:line="600" w:lineRule="exact"/>
        <w:ind w:firstLine="643"/>
        <w:rPr>
          <w:b/>
          <w:bCs/>
          <w:szCs w:val="32"/>
        </w:rPr>
      </w:pPr>
      <w:r>
        <w:rPr>
          <w:b/>
          <w:bCs/>
          <w:szCs w:val="32"/>
        </w:rPr>
        <w:t>全球未来产业引领地。</w:t>
      </w:r>
      <w:r>
        <w:rPr>
          <w:color w:val="000000"/>
          <w:szCs w:val="32"/>
        </w:rPr>
        <w:t>顺应数字经济、生命健康、航空科技等领域前沿技术发展趋势，率先谋划布局以引领式、颠覆性创新为主体的未来产业，探索开展适应未来产业发展的体制机制创新，打造未来产业先导区，推动未来产业重大项目落地，加快余杭制造业产业结构优化升级。</w:t>
      </w:r>
    </w:p>
    <w:p>
      <w:pPr>
        <w:pStyle w:val="7"/>
        <w:spacing w:line="600" w:lineRule="exact"/>
        <w:ind w:firstLine="643"/>
        <w:rPr>
          <w:rFonts w:cs="Times New Roman"/>
        </w:rPr>
      </w:pPr>
      <w:r>
        <w:rPr>
          <w:rFonts w:cs="Times New Roman"/>
          <w:b/>
          <w:bCs/>
        </w:rPr>
        <w:t>全国产业创新策源地。</w:t>
      </w:r>
      <w:r>
        <w:rPr>
          <w:rFonts w:cs="Times New Roman"/>
          <w:color w:val="000000"/>
        </w:rPr>
        <w:t>深入推进全域创新，以全力争创综合性国家科学中心核心区为契机，</w:t>
      </w:r>
      <w:r>
        <w:rPr>
          <w:rFonts w:cs="Times New Roman"/>
        </w:rPr>
        <w:t>加快将基础创新和数字科技创新成果转化为制造业技术创新、产业创新能力，</w:t>
      </w:r>
      <w:r>
        <w:rPr>
          <w:rFonts w:cs="Times New Roman"/>
          <w:szCs w:val="40"/>
        </w:rPr>
        <w:t>推动余杭制造向余杭创造、余杭智造跃升，</w:t>
      </w:r>
      <w:r>
        <w:rPr>
          <w:rFonts w:cs="Times New Roman"/>
        </w:rPr>
        <w:t>将余杭打造成为先进制造技术、服务和思想的输出高地</w:t>
      </w:r>
      <w:r>
        <w:rPr>
          <w:rFonts w:cs="Times New Roman"/>
          <w:szCs w:val="40"/>
        </w:rPr>
        <w:t>。</w:t>
      </w:r>
    </w:p>
    <w:p>
      <w:pPr>
        <w:pStyle w:val="7"/>
        <w:spacing w:line="600" w:lineRule="exact"/>
        <w:ind w:firstLine="643"/>
        <w:rPr>
          <w:rFonts w:cs="Times New Roman"/>
        </w:rPr>
      </w:pPr>
      <w:r>
        <w:rPr>
          <w:rFonts w:cs="Times New Roman"/>
          <w:b/>
          <w:bCs/>
        </w:rPr>
        <w:t>全省都市制造标杆地。</w:t>
      </w:r>
      <w:r>
        <w:rPr>
          <w:rFonts w:cs="Times New Roman"/>
          <w:szCs w:val="40"/>
        </w:rPr>
        <w:t>以产城人景融合为发展主线，聚焦高端制造业以及总部经济和生产性服务业协同发展，加快园区有机更新，引导制造“上楼”，增强城市经济活力和创新能力，打造产业集聚、土地集约、产业链协同、生态环境友好的新型都市制造“余杭模式”。</w:t>
      </w:r>
    </w:p>
    <w:p>
      <w:pPr>
        <w:spacing w:line="600" w:lineRule="exact"/>
        <w:ind w:firstLine="640"/>
        <w:outlineLvl w:val="1"/>
        <w:rPr>
          <w:rFonts w:eastAsia="楷体_GB2312"/>
          <w:bCs/>
          <w:szCs w:val="32"/>
        </w:rPr>
      </w:pPr>
      <w:bookmarkStart w:id="25" w:name="_Toc53403236"/>
      <w:bookmarkStart w:id="26" w:name="_Toc50385804"/>
      <w:bookmarkStart w:id="27" w:name="_Toc94109602"/>
      <w:r>
        <w:rPr>
          <w:rFonts w:eastAsia="楷体_GB2312"/>
          <w:bCs/>
          <w:szCs w:val="32"/>
        </w:rPr>
        <w:t>（三）具体目标</w:t>
      </w:r>
      <w:bookmarkEnd w:id="25"/>
      <w:bookmarkEnd w:id="26"/>
      <w:bookmarkEnd w:id="27"/>
    </w:p>
    <w:p>
      <w:pPr>
        <w:spacing w:line="600" w:lineRule="exact"/>
        <w:ind w:firstLine="640"/>
      </w:pPr>
      <w:r>
        <w:t>力争通过五年时间，全区制造业在规模效益、创新水平、结构优化、绿色集约等方面成效显著，构建形成制造业高质量发展的现代化产业体系，成为</w:t>
      </w:r>
      <w:r>
        <w:rPr>
          <w:szCs w:val="30"/>
        </w:rPr>
        <w:t>全球未来产业</w:t>
      </w:r>
      <w:r>
        <w:rPr>
          <w:rFonts w:hint="eastAsia"/>
          <w:szCs w:val="30"/>
        </w:rPr>
        <w:t>引领</w:t>
      </w:r>
      <w:r>
        <w:rPr>
          <w:szCs w:val="30"/>
        </w:rPr>
        <w:t>地、全国产业创新策源地、全省都市制造标杆地</w:t>
      </w:r>
      <w:r>
        <w:t>。</w:t>
      </w:r>
    </w:p>
    <w:p>
      <w:pPr>
        <w:spacing w:line="600" w:lineRule="exact"/>
        <w:ind w:firstLine="643"/>
        <w:rPr>
          <w:b/>
          <w:bCs/>
        </w:rPr>
      </w:pPr>
      <w:r>
        <w:rPr>
          <w:b/>
          <w:bCs/>
        </w:rPr>
        <w:t>——规模效益稳步提升。</w:t>
      </w:r>
      <w:r>
        <w:t>制造业规模能级快速增强，规上工业增加值达到300亿元；智能制造水平全面提升，规上工业全员劳动生产率达30万元/人。企业活力和竞争力不断增强，企业梯队更为合理，上市工业企业数量超25家。</w:t>
      </w:r>
    </w:p>
    <w:p>
      <w:pPr>
        <w:spacing w:line="600" w:lineRule="exact"/>
        <w:ind w:firstLine="643"/>
      </w:pPr>
      <w:r>
        <w:rPr>
          <w:b/>
          <w:bCs/>
        </w:rPr>
        <w:t>——科技创新引领发展。</w:t>
      </w:r>
      <w:r>
        <w:t>全区创新动能持续增强，规上工业企业R&amp;D经费占营业收入的比重达到2.8%，力争有效发明专利拥有量超2550件，规上工业新产品产值率达到50%，成为服务全国、带动全省的产业创新策源地。</w:t>
      </w:r>
    </w:p>
    <w:p>
      <w:pPr>
        <w:spacing w:line="600" w:lineRule="exact"/>
        <w:ind w:firstLine="643"/>
      </w:pPr>
      <w:r>
        <w:rPr>
          <w:b/>
          <w:bCs/>
        </w:rPr>
        <w:t>——</w:t>
      </w:r>
      <w:r>
        <w:rPr>
          <w:b/>
          <w:bCs/>
          <w:szCs w:val="30"/>
        </w:rPr>
        <w:t>产业结构快速优化</w:t>
      </w:r>
      <w:r>
        <w:rPr>
          <w:b/>
          <w:bCs/>
        </w:rPr>
        <w:t>。</w:t>
      </w:r>
      <w:r>
        <w:t>全区产业结构，数字经济核心产业增加值占GDP比重达到75%以上，战略性新兴产业、高新技术产业增加值占规上工业增加值比重分别达到56%、70%，新动能显著增强。</w:t>
      </w:r>
    </w:p>
    <w:p>
      <w:pPr>
        <w:pStyle w:val="7"/>
        <w:ind w:firstLine="643"/>
        <w:rPr>
          <w:rFonts w:cs="Times New Roman"/>
        </w:rPr>
      </w:pPr>
      <w:r>
        <w:rPr>
          <w:rFonts w:cs="Times New Roman"/>
          <w:b/>
          <w:bCs/>
        </w:rPr>
        <w:t>——绿色集约成效显著。</w:t>
      </w:r>
      <w:r>
        <w:rPr>
          <w:rFonts w:cs="Times New Roman"/>
        </w:rPr>
        <w:t>全区绿色制造体系建设成效显著，资源利用效率明显提高，规模以上工业单位增加值能耗降幅、万元工业增加值用水量降幅等完成上级目标要求，培育一批绿色产品、绿色工厂、绿色园区。</w:t>
      </w:r>
    </w:p>
    <w:p>
      <w:pPr>
        <w:pStyle w:val="7"/>
        <w:ind w:firstLine="560"/>
        <w:jc w:val="center"/>
        <w:rPr>
          <w:rFonts w:eastAsia="黑体" w:cs="Times New Roman"/>
          <w:sz w:val="28"/>
        </w:rPr>
      </w:pPr>
      <w:bookmarkStart w:id="28" w:name="_Hlk77067784"/>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2</w:t>
      </w:r>
      <w:r>
        <w:rPr>
          <w:rFonts w:eastAsia="黑体" w:cs="Times New Roman"/>
          <w:sz w:val="28"/>
        </w:rPr>
        <w:fldChar w:fldCharType="end"/>
      </w:r>
      <w:r>
        <w:rPr>
          <w:rFonts w:eastAsia="黑体" w:cs="Times New Roman"/>
          <w:sz w:val="28"/>
        </w:rPr>
        <w:t xml:space="preserve"> 余杭区“十四五”制造业高质量发展规划主要目标表</w:t>
      </w:r>
    </w:p>
    <w:tbl>
      <w:tblPr>
        <w:tblStyle w:val="35"/>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
        <w:gridCol w:w="3405"/>
        <w:gridCol w:w="851"/>
        <w:gridCol w:w="1134"/>
        <w:gridCol w:w="1134"/>
        <w:gridCol w:w="1134"/>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3784" w:type="dxa"/>
            <w:gridSpan w:val="2"/>
            <w:tcMar>
              <w:left w:w="28" w:type="dxa"/>
              <w:right w:w="28" w:type="dxa"/>
            </w:tcMar>
            <w:vAlign w:val="center"/>
          </w:tcPr>
          <w:p>
            <w:pPr>
              <w:spacing w:line="240" w:lineRule="auto"/>
              <w:ind w:firstLine="0" w:firstLineChars="0"/>
              <w:jc w:val="center"/>
              <w:rPr>
                <w:b/>
                <w:sz w:val="24"/>
              </w:rPr>
            </w:pPr>
            <w:bookmarkStart w:id="29" w:name="_Hlk77068256"/>
            <w:r>
              <w:rPr>
                <w:b/>
                <w:sz w:val="24"/>
              </w:rPr>
              <w:t>指标</w:t>
            </w:r>
          </w:p>
        </w:tc>
        <w:tc>
          <w:tcPr>
            <w:tcW w:w="851" w:type="dxa"/>
            <w:tcMar>
              <w:left w:w="28" w:type="dxa"/>
              <w:right w:w="28" w:type="dxa"/>
            </w:tcMar>
            <w:vAlign w:val="center"/>
          </w:tcPr>
          <w:p>
            <w:pPr>
              <w:spacing w:line="240" w:lineRule="auto"/>
              <w:ind w:firstLine="0" w:firstLineChars="0"/>
              <w:jc w:val="center"/>
              <w:rPr>
                <w:b/>
                <w:color w:val="000000"/>
                <w:sz w:val="24"/>
              </w:rPr>
            </w:pPr>
            <w:r>
              <w:rPr>
                <w:b/>
                <w:color w:val="000000"/>
                <w:sz w:val="24"/>
              </w:rPr>
              <w:t>单位</w:t>
            </w:r>
          </w:p>
        </w:tc>
        <w:tc>
          <w:tcPr>
            <w:tcW w:w="1134" w:type="dxa"/>
            <w:vAlign w:val="center"/>
          </w:tcPr>
          <w:p>
            <w:pPr>
              <w:spacing w:line="240" w:lineRule="auto"/>
              <w:ind w:firstLine="0" w:firstLineChars="0"/>
              <w:jc w:val="center"/>
              <w:rPr>
                <w:b/>
                <w:color w:val="000000"/>
                <w:sz w:val="24"/>
              </w:rPr>
            </w:pPr>
            <w:r>
              <w:rPr>
                <w:b/>
                <w:color w:val="000000"/>
                <w:sz w:val="24"/>
              </w:rPr>
              <w:t>2020</w:t>
            </w:r>
          </w:p>
        </w:tc>
        <w:tc>
          <w:tcPr>
            <w:tcW w:w="1134" w:type="dxa"/>
            <w:tcMar>
              <w:left w:w="28" w:type="dxa"/>
              <w:right w:w="28" w:type="dxa"/>
            </w:tcMar>
            <w:vAlign w:val="center"/>
          </w:tcPr>
          <w:p>
            <w:pPr>
              <w:spacing w:line="240" w:lineRule="auto"/>
              <w:ind w:firstLine="0" w:firstLineChars="0"/>
              <w:jc w:val="center"/>
              <w:rPr>
                <w:b/>
                <w:color w:val="000000"/>
                <w:sz w:val="24"/>
              </w:rPr>
            </w:pPr>
            <w:r>
              <w:rPr>
                <w:b/>
                <w:color w:val="000000"/>
                <w:sz w:val="24"/>
              </w:rPr>
              <w:t>2025</w:t>
            </w:r>
          </w:p>
        </w:tc>
        <w:tc>
          <w:tcPr>
            <w:tcW w:w="1134" w:type="dxa"/>
            <w:vAlign w:val="center"/>
          </w:tcPr>
          <w:p>
            <w:pPr>
              <w:spacing w:line="240" w:lineRule="auto"/>
              <w:ind w:firstLine="0" w:firstLineChars="0"/>
              <w:jc w:val="center"/>
              <w:rPr>
                <w:b/>
                <w:sz w:val="24"/>
              </w:rPr>
            </w:pPr>
            <w:r>
              <w:rPr>
                <w:b/>
                <w:sz w:val="24"/>
              </w:rPr>
              <w:t>年均增长[累计]</w:t>
            </w:r>
          </w:p>
        </w:tc>
        <w:tc>
          <w:tcPr>
            <w:tcW w:w="1032" w:type="dxa"/>
            <w:vAlign w:val="center"/>
          </w:tcPr>
          <w:p>
            <w:pPr>
              <w:spacing w:line="240" w:lineRule="auto"/>
              <w:ind w:firstLine="0" w:firstLineChars="0"/>
              <w:jc w:val="center"/>
              <w:rPr>
                <w:b/>
                <w:sz w:val="24"/>
              </w:rPr>
            </w:pPr>
            <w:r>
              <w:rPr>
                <w:b/>
                <w:sz w:val="24"/>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jc w:val="center"/>
        </w:trPr>
        <w:tc>
          <w:tcPr>
            <w:tcW w:w="379" w:type="dxa"/>
            <w:vMerge w:val="restart"/>
            <w:tcMar>
              <w:left w:w="28" w:type="dxa"/>
              <w:right w:w="28" w:type="dxa"/>
            </w:tcMar>
            <w:vAlign w:val="center"/>
          </w:tcPr>
          <w:p>
            <w:pPr>
              <w:spacing w:line="340" w:lineRule="exact"/>
              <w:ind w:firstLine="0" w:firstLineChars="0"/>
              <w:jc w:val="center"/>
              <w:rPr>
                <w:b/>
                <w:sz w:val="24"/>
              </w:rPr>
            </w:pPr>
            <w:r>
              <w:rPr>
                <w:b/>
                <w:sz w:val="24"/>
              </w:rPr>
              <w:t>质效提升</w:t>
            </w:r>
          </w:p>
        </w:tc>
        <w:tc>
          <w:tcPr>
            <w:tcW w:w="3405" w:type="dxa"/>
            <w:tcMar>
              <w:left w:w="28" w:type="dxa"/>
              <w:right w:w="28" w:type="dxa"/>
            </w:tcMar>
            <w:vAlign w:val="center"/>
          </w:tcPr>
          <w:p>
            <w:pPr>
              <w:spacing w:line="240" w:lineRule="auto"/>
              <w:ind w:firstLine="0" w:firstLineChars="0"/>
              <w:rPr>
                <w:sz w:val="24"/>
              </w:rPr>
            </w:pPr>
            <w:r>
              <w:rPr>
                <w:sz w:val="24"/>
              </w:rPr>
              <w:t>规上工业增加值</w:t>
            </w:r>
          </w:p>
        </w:tc>
        <w:tc>
          <w:tcPr>
            <w:tcW w:w="851" w:type="dxa"/>
            <w:tcMar>
              <w:left w:w="28" w:type="dxa"/>
              <w:right w:w="28" w:type="dxa"/>
            </w:tcMar>
            <w:vAlign w:val="center"/>
          </w:tcPr>
          <w:p>
            <w:pPr>
              <w:spacing w:line="240" w:lineRule="auto"/>
              <w:ind w:firstLine="0" w:firstLineChars="0"/>
              <w:jc w:val="center"/>
              <w:rPr>
                <w:sz w:val="24"/>
              </w:rPr>
            </w:pPr>
            <w:r>
              <w:rPr>
                <w:sz w:val="24"/>
              </w:rPr>
              <w:t>亿元</w:t>
            </w:r>
          </w:p>
        </w:tc>
        <w:tc>
          <w:tcPr>
            <w:tcW w:w="1134" w:type="dxa"/>
            <w:vAlign w:val="center"/>
          </w:tcPr>
          <w:p>
            <w:pPr>
              <w:spacing w:line="240" w:lineRule="auto"/>
              <w:ind w:firstLine="0" w:firstLineChars="0"/>
              <w:jc w:val="center"/>
              <w:rPr>
                <w:color w:val="000000"/>
                <w:sz w:val="24"/>
              </w:rPr>
            </w:pPr>
            <w:r>
              <w:rPr>
                <w:sz w:val="24"/>
              </w:rPr>
              <w:t>190.27</w:t>
            </w:r>
          </w:p>
        </w:tc>
        <w:tc>
          <w:tcPr>
            <w:tcW w:w="1134" w:type="dxa"/>
            <w:tcMar>
              <w:left w:w="28" w:type="dxa"/>
              <w:right w:w="28" w:type="dxa"/>
            </w:tcMar>
            <w:vAlign w:val="center"/>
          </w:tcPr>
          <w:p>
            <w:pPr>
              <w:spacing w:line="240" w:lineRule="auto"/>
              <w:ind w:firstLine="0" w:firstLineChars="0"/>
              <w:jc w:val="center"/>
              <w:rPr>
                <w:color w:val="000000"/>
                <w:sz w:val="24"/>
              </w:rPr>
            </w:pPr>
            <w:r>
              <w:rPr>
                <w:color w:val="000000"/>
                <w:sz w:val="24"/>
              </w:rPr>
              <w:t>300</w:t>
            </w:r>
          </w:p>
        </w:tc>
        <w:tc>
          <w:tcPr>
            <w:tcW w:w="1134" w:type="dxa"/>
            <w:vAlign w:val="center"/>
          </w:tcPr>
          <w:p>
            <w:pPr>
              <w:spacing w:line="240" w:lineRule="auto"/>
              <w:ind w:firstLine="0" w:firstLineChars="0"/>
              <w:jc w:val="center"/>
              <w:rPr>
                <w:sz w:val="24"/>
              </w:rPr>
            </w:pPr>
            <w:r>
              <w:rPr>
                <w:sz w:val="24"/>
              </w:rPr>
              <w:t>9以上</w:t>
            </w:r>
          </w:p>
        </w:tc>
        <w:tc>
          <w:tcPr>
            <w:tcW w:w="1032" w:type="dxa"/>
            <w:vAlign w:val="center"/>
          </w:tcPr>
          <w:p>
            <w:pPr>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pacing w:line="240" w:lineRule="auto"/>
              <w:ind w:firstLine="0" w:firstLineChars="0"/>
              <w:rPr>
                <w:sz w:val="24"/>
              </w:rPr>
            </w:pPr>
            <w:r>
              <w:rPr>
                <w:color w:val="000000"/>
                <w:sz w:val="24"/>
              </w:rPr>
              <w:t>规上工业增加值率</w:t>
            </w:r>
          </w:p>
        </w:tc>
        <w:tc>
          <w:tcPr>
            <w:tcW w:w="851" w:type="dxa"/>
            <w:tcMar>
              <w:left w:w="28" w:type="dxa"/>
              <w:right w:w="28" w:type="dxa"/>
            </w:tcMar>
            <w:vAlign w:val="center"/>
          </w:tcPr>
          <w:p>
            <w:pPr>
              <w:spacing w:line="240" w:lineRule="auto"/>
              <w:ind w:firstLine="0" w:firstLineChars="0"/>
              <w:jc w:val="center"/>
              <w:rPr>
                <w:sz w:val="24"/>
              </w:rPr>
            </w:pPr>
            <w:r>
              <w:rPr>
                <w:sz w:val="24"/>
              </w:rPr>
              <w:t>%</w:t>
            </w:r>
          </w:p>
        </w:tc>
        <w:tc>
          <w:tcPr>
            <w:tcW w:w="1134" w:type="dxa"/>
            <w:vAlign w:val="center"/>
          </w:tcPr>
          <w:p>
            <w:pPr>
              <w:spacing w:line="240" w:lineRule="auto"/>
              <w:ind w:firstLine="0" w:firstLineChars="0"/>
              <w:jc w:val="center"/>
              <w:rPr>
                <w:sz w:val="24"/>
              </w:rPr>
            </w:pPr>
            <w:r>
              <w:rPr>
                <w:sz w:val="24"/>
              </w:rPr>
              <w:t>23.32</w:t>
            </w:r>
          </w:p>
        </w:tc>
        <w:tc>
          <w:tcPr>
            <w:tcW w:w="1134" w:type="dxa"/>
            <w:tcMar>
              <w:left w:w="28" w:type="dxa"/>
              <w:right w:w="28" w:type="dxa"/>
            </w:tcMar>
            <w:vAlign w:val="center"/>
          </w:tcPr>
          <w:p>
            <w:pPr>
              <w:spacing w:line="240" w:lineRule="auto"/>
              <w:ind w:firstLine="0" w:firstLineChars="0"/>
              <w:jc w:val="center"/>
              <w:rPr>
                <w:sz w:val="24"/>
              </w:rPr>
            </w:pPr>
            <w:r>
              <w:rPr>
                <w:sz w:val="24"/>
              </w:rPr>
              <w:t>25</w:t>
            </w:r>
          </w:p>
        </w:tc>
        <w:tc>
          <w:tcPr>
            <w:tcW w:w="1134" w:type="dxa"/>
            <w:vAlign w:val="center"/>
          </w:tcPr>
          <w:p>
            <w:pPr>
              <w:spacing w:line="240" w:lineRule="auto"/>
              <w:ind w:firstLine="0" w:firstLineChars="0"/>
              <w:jc w:val="center"/>
              <w:rPr>
                <w:sz w:val="24"/>
              </w:rPr>
            </w:pPr>
            <w:r>
              <w:rPr>
                <w:sz w:val="24"/>
              </w:rPr>
              <w:t>[1.68]</w:t>
            </w:r>
          </w:p>
        </w:tc>
        <w:tc>
          <w:tcPr>
            <w:tcW w:w="1032" w:type="dxa"/>
            <w:vAlign w:val="center"/>
          </w:tcPr>
          <w:p>
            <w:pPr>
              <w:spacing w:line="240" w:lineRule="auto"/>
              <w:ind w:firstLine="0" w:firstLineChars="0"/>
              <w:jc w:val="center"/>
              <w:rPr>
                <w:rFonts w:eastAsia="宋体"/>
                <w:sz w:val="21"/>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pacing w:line="240" w:lineRule="auto"/>
              <w:ind w:firstLine="0" w:firstLineChars="0"/>
              <w:rPr>
                <w:sz w:val="24"/>
              </w:rPr>
            </w:pPr>
            <w:r>
              <w:rPr>
                <w:spacing w:val="-9"/>
                <w:sz w:val="24"/>
              </w:rPr>
              <w:t>规上工业全员劳动生产率</w:t>
            </w:r>
          </w:p>
        </w:tc>
        <w:tc>
          <w:tcPr>
            <w:tcW w:w="851" w:type="dxa"/>
            <w:tcMar>
              <w:left w:w="28" w:type="dxa"/>
              <w:right w:w="28" w:type="dxa"/>
            </w:tcMar>
            <w:vAlign w:val="center"/>
          </w:tcPr>
          <w:p>
            <w:pPr>
              <w:spacing w:line="240" w:lineRule="auto"/>
              <w:ind w:firstLine="0" w:firstLineChars="0"/>
              <w:jc w:val="center"/>
              <w:rPr>
                <w:sz w:val="24"/>
              </w:rPr>
            </w:pPr>
            <w:r>
              <w:rPr>
                <w:sz w:val="24"/>
              </w:rPr>
              <w:t>万元/人</w:t>
            </w:r>
          </w:p>
        </w:tc>
        <w:tc>
          <w:tcPr>
            <w:tcW w:w="1134" w:type="dxa"/>
            <w:vAlign w:val="center"/>
          </w:tcPr>
          <w:p>
            <w:pPr>
              <w:spacing w:line="240" w:lineRule="auto"/>
              <w:ind w:firstLine="0" w:firstLineChars="0"/>
              <w:jc w:val="center"/>
              <w:rPr>
                <w:sz w:val="24"/>
              </w:rPr>
            </w:pPr>
            <w:r>
              <w:rPr>
                <w:sz w:val="24"/>
              </w:rPr>
              <w:t>22.86</w:t>
            </w:r>
          </w:p>
        </w:tc>
        <w:tc>
          <w:tcPr>
            <w:tcW w:w="1134" w:type="dxa"/>
            <w:tcMar>
              <w:left w:w="28" w:type="dxa"/>
              <w:right w:w="28" w:type="dxa"/>
            </w:tcMar>
            <w:vAlign w:val="center"/>
          </w:tcPr>
          <w:p>
            <w:pPr>
              <w:spacing w:line="240" w:lineRule="auto"/>
              <w:ind w:firstLine="0" w:firstLineChars="0"/>
              <w:jc w:val="center"/>
              <w:rPr>
                <w:sz w:val="24"/>
              </w:rPr>
            </w:pPr>
            <w:r>
              <w:rPr>
                <w:sz w:val="24"/>
              </w:rPr>
              <w:t>30</w:t>
            </w:r>
          </w:p>
        </w:tc>
        <w:tc>
          <w:tcPr>
            <w:tcW w:w="1134" w:type="dxa"/>
            <w:vAlign w:val="center"/>
          </w:tcPr>
          <w:p>
            <w:pPr>
              <w:spacing w:line="240" w:lineRule="auto"/>
              <w:ind w:firstLine="0" w:firstLineChars="0"/>
              <w:jc w:val="center"/>
              <w:rPr>
                <w:color w:val="000000"/>
                <w:sz w:val="24"/>
              </w:rPr>
            </w:pPr>
            <w:r>
              <w:rPr>
                <w:color w:val="000000"/>
                <w:sz w:val="24"/>
              </w:rPr>
              <w:t>6</w:t>
            </w:r>
          </w:p>
        </w:tc>
        <w:tc>
          <w:tcPr>
            <w:tcW w:w="1032" w:type="dxa"/>
            <w:vAlign w:val="center"/>
          </w:tcPr>
          <w:p>
            <w:pPr>
              <w:spacing w:line="240" w:lineRule="auto"/>
              <w:ind w:firstLine="0" w:firstLineChars="0"/>
              <w:jc w:val="center"/>
              <w:rPr>
                <w:rFonts w:eastAsia="宋体"/>
                <w:color w:val="000000"/>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pacing w:line="240" w:lineRule="auto"/>
              <w:ind w:firstLine="0" w:firstLineChars="0"/>
              <w:rPr>
                <w:color w:val="000000"/>
                <w:sz w:val="24"/>
                <w:highlight w:val="yellow"/>
              </w:rPr>
            </w:pPr>
            <w:r>
              <w:rPr>
                <w:color w:val="000000"/>
                <w:sz w:val="24"/>
              </w:rPr>
              <w:t>规上工业亩均增加值</w:t>
            </w:r>
          </w:p>
        </w:tc>
        <w:tc>
          <w:tcPr>
            <w:tcW w:w="851" w:type="dxa"/>
            <w:tcMar>
              <w:left w:w="28" w:type="dxa"/>
              <w:right w:w="28" w:type="dxa"/>
            </w:tcMar>
            <w:vAlign w:val="center"/>
          </w:tcPr>
          <w:p>
            <w:pPr>
              <w:spacing w:line="240" w:lineRule="auto"/>
              <w:ind w:firstLine="0" w:firstLineChars="0"/>
              <w:jc w:val="center"/>
              <w:rPr>
                <w:color w:val="000000"/>
                <w:sz w:val="24"/>
              </w:rPr>
            </w:pPr>
            <w:r>
              <w:rPr>
                <w:color w:val="000000"/>
                <w:sz w:val="24"/>
              </w:rPr>
              <w:t>万元/亩</w:t>
            </w:r>
          </w:p>
        </w:tc>
        <w:tc>
          <w:tcPr>
            <w:tcW w:w="1134" w:type="dxa"/>
            <w:vAlign w:val="center"/>
          </w:tcPr>
          <w:p>
            <w:pPr>
              <w:spacing w:line="240" w:lineRule="auto"/>
              <w:ind w:firstLine="0" w:firstLineChars="0"/>
              <w:jc w:val="center"/>
              <w:rPr>
                <w:color w:val="000000"/>
                <w:sz w:val="24"/>
              </w:rPr>
            </w:pPr>
            <w:r>
              <w:rPr>
                <w:color w:val="000000"/>
                <w:sz w:val="24"/>
              </w:rPr>
              <w:t>176.4</w:t>
            </w:r>
          </w:p>
        </w:tc>
        <w:tc>
          <w:tcPr>
            <w:tcW w:w="1134" w:type="dxa"/>
            <w:tcMar>
              <w:left w:w="28" w:type="dxa"/>
              <w:right w:w="28" w:type="dxa"/>
            </w:tcMar>
            <w:vAlign w:val="center"/>
          </w:tcPr>
          <w:p>
            <w:pPr>
              <w:spacing w:line="240" w:lineRule="auto"/>
              <w:ind w:firstLine="0" w:firstLineChars="0"/>
              <w:jc w:val="center"/>
              <w:rPr>
                <w:color w:val="000000"/>
                <w:sz w:val="24"/>
                <w:highlight w:val="yellow"/>
              </w:rPr>
            </w:pPr>
            <w:r>
              <w:rPr>
                <w:color w:val="000000"/>
                <w:sz w:val="24"/>
              </w:rPr>
              <w:t>216</w:t>
            </w:r>
          </w:p>
        </w:tc>
        <w:tc>
          <w:tcPr>
            <w:tcW w:w="1134" w:type="dxa"/>
            <w:vAlign w:val="center"/>
          </w:tcPr>
          <w:p>
            <w:pPr>
              <w:spacing w:line="240" w:lineRule="auto"/>
              <w:ind w:firstLine="0" w:firstLineChars="0"/>
              <w:jc w:val="center"/>
              <w:rPr>
                <w:sz w:val="24"/>
              </w:rPr>
            </w:pPr>
            <w:r>
              <w:rPr>
                <w:sz w:val="24"/>
              </w:rPr>
              <w:t>7</w:t>
            </w:r>
          </w:p>
        </w:tc>
        <w:tc>
          <w:tcPr>
            <w:tcW w:w="1032" w:type="dxa"/>
            <w:vAlign w:val="center"/>
          </w:tcPr>
          <w:p>
            <w:pPr>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pacing w:line="240" w:lineRule="auto"/>
              <w:ind w:firstLine="0" w:firstLineChars="0"/>
              <w:rPr>
                <w:color w:val="000000"/>
                <w:sz w:val="24"/>
              </w:rPr>
            </w:pPr>
            <w:r>
              <w:rPr>
                <w:color w:val="000000"/>
                <w:sz w:val="24"/>
              </w:rPr>
              <w:t>规上工业亩均税收</w:t>
            </w:r>
          </w:p>
        </w:tc>
        <w:tc>
          <w:tcPr>
            <w:tcW w:w="851" w:type="dxa"/>
            <w:tcMar>
              <w:left w:w="28" w:type="dxa"/>
              <w:right w:w="28" w:type="dxa"/>
            </w:tcMar>
            <w:vAlign w:val="center"/>
          </w:tcPr>
          <w:p>
            <w:pPr>
              <w:spacing w:line="240" w:lineRule="auto"/>
              <w:ind w:firstLine="0" w:firstLineChars="0"/>
              <w:jc w:val="center"/>
              <w:rPr>
                <w:color w:val="000000"/>
                <w:sz w:val="24"/>
              </w:rPr>
            </w:pPr>
            <w:r>
              <w:rPr>
                <w:color w:val="000000"/>
                <w:sz w:val="24"/>
              </w:rPr>
              <w:t>万元/亩</w:t>
            </w:r>
          </w:p>
        </w:tc>
        <w:tc>
          <w:tcPr>
            <w:tcW w:w="1134" w:type="dxa"/>
            <w:vAlign w:val="center"/>
          </w:tcPr>
          <w:p>
            <w:pPr>
              <w:spacing w:line="240" w:lineRule="auto"/>
              <w:ind w:firstLine="0" w:firstLineChars="0"/>
              <w:jc w:val="center"/>
              <w:rPr>
                <w:color w:val="000000"/>
                <w:sz w:val="24"/>
              </w:rPr>
            </w:pPr>
            <w:r>
              <w:rPr>
                <w:color w:val="000000"/>
                <w:sz w:val="24"/>
              </w:rPr>
              <w:t>29.9</w:t>
            </w:r>
          </w:p>
        </w:tc>
        <w:tc>
          <w:tcPr>
            <w:tcW w:w="1134" w:type="dxa"/>
            <w:tcMar>
              <w:left w:w="28" w:type="dxa"/>
              <w:right w:w="28" w:type="dxa"/>
            </w:tcMar>
            <w:vAlign w:val="center"/>
          </w:tcPr>
          <w:p>
            <w:pPr>
              <w:spacing w:line="240" w:lineRule="auto"/>
              <w:ind w:firstLine="0" w:firstLineChars="0"/>
              <w:jc w:val="center"/>
              <w:rPr>
                <w:color w:val="000000"/>
                <w:sz w:val="24"/>
              </w:rPr>
            </w:pPr>
            <w:r>
              <w:rPr>
                <w:color w:val="000000"/>
                <w:sz w:val="24"/>
              </w:rPr>
              <w:t>50</w:t>
            </w:r>
          </w:p>
        </w:tc>
        <w:tc>
          <w:tcPr>
            <w:tcW w:w="1134" w:type="dxa"/>
            <w:vAlign w:val="center"/>
          </w:tcPr>
          <w:p>
            <w:pPr>
              <w:spacing w:line="240" w:lineRule="auto"/>
              <w:ind w:firstLine="0" w:firstLineChars="0"/>
              <w:jc w:val="center"/>
              <w:rPr>
                <w:sz w:val="24"/>
              </w:rPr>
            </w:pPr>
            <w:r>
              <w:rPr>
                <w:sz w:val="24"/>
              </w:rPr>
              <w:t>11</w:t>
            </w:r>
          </w:p>
        </w:tc>
        <w:tc>
          <w:tcPr>
            <w:tcW w:w="1032" w:type="dxa"/>
            <w:vAlign w:val="center"/>
          </w:tcPr>
          <w:p>
            <w:pPr>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pacing w:line="240" w:lineRule="auto"/>
              <w:ind w:firstLine="0" w:firstLineChars="0"/>
              <w:rPr>
                <w:color w:val="000000"/>
                <w:sz w:val="24"/>
              </w:rPr>
            </w:pPr>
            <w:r>
              <w:rPr>
                <w:color w:val="000000"/>
                <w:sz w:val="24"/>
              </w:rPr>
              <w:t>上市工业企业数量</w:t>
            </w:r>
          </w:p>
        </w:tc>
        <w:tc>
          <w:tcPr>
            <w:tcW w:w="851" w:type="dxa"/>
            <w:tcMar>
              <w:left w:w="28" w:type="dxa"/>
              <w:right w:w="28" w:type="dxa"/>
            </w:tcMar>
            <w:vAlign w:val="center"/>
          </w:tcPr>
          <w:p>
            <w:pPr>
              <w:spacing w:line="240" w:lineRule="auto"/>
              <w:ind w:firstLine="0" w:firstLineChars="0"/>
              <w:jc w:val="center"/>
              <w:rPr>
                <w:color w:val="000000"/>
                <w:sz w:val="24"/>
              </w:rPr>
            </w:pPr>
            <w:r>
              <w:rPr>
                <w:color w:val="000000"/>
                <w:sz w:val="24"/>
              </w:rPr>
              <w:t>个</w:t>
            </w:r>
          </w:p>
        </w:tc>
        <w:tc>
          <w:tcPr>
            <w:tcW w:w="1134" w:type="dxa"/>
            <w:vAlign w:val="center"/>
          </w:tcPr>
          <w:p>
            <w:pPr>
              <w:spacing w:line="240" w:lineRule="auto"/>
              <w:ind w:firstLine="0" w:firstLineChars="0"/>
              <w:jc w:val="center"/>
              <w:rPr>
                <w:color w:val="000000"/>
                <w:sz w:val="24"/>
              </w:rPr>
            </w:pPr>
            <w:r>
              <w:rPr>
                <w:color w:val="000000"/>
                <w:sz w:val="24"/>
              </w:rPr>
              <w:t>8</w:t>
            </w:r>
          </w:p>
        </w:tc>
        <w:tc>
          <w:tcPr>
            <w:tcW w:w="1134" w:type="dxa"/>
            <w:tcMar>
              <w:left w:w="28" w:type="dxa"/>
              <w:right w:w="28" w:type="dxa"/>
            </w:tcMar>
            <w:vAlign w:val="center"/>
          </w:tcPr>
          <w:p>
            <w:pPr>
              <w:spacing w:line="240" w:lineRule="auto"/>
              <w:ind w:firstLine="0" w:firstLineChars="0"/>
              <w:jc w:val="center"/>
              <w:rPr>
                <w:color w:val="000000"/>
                <w:sz w:val="24"/>
                <w:highlight w:val="yellow"/>
              </w:rPr>
            </w:pPr>
            <w:r>
              <w:rPr>
                <w:color w:val="000000"/>
                <w:sz w:val="24"/>
              </w:rPr>
              <w:t>25</w:t>
            </w:r>
          </w:p>
        </w:tc>
        <w:tc>
          <w:tcPr>
            <w:tcW w:w="1134" w:type="dxa"/>
            <w:vAlign w:val="center"/>
          </w:tcPr>
          <w:p>
            <w:pPr>
              <w:spacing w:line="240" w:lineRule="auto"/>
              <w:ind w:firstLine="0" w:firstLineChars="0"/>
              <w:jc w:val="center"/>
              <w:rPr>
                <w:sz w:val="24"/>
              </w:rPr>
            </w:pPr>
            <w:r>
              <w:rPr>
                <w:sz w:val="24"/>
              </w:rPr>
              <w:t>[17]</w:t>
            </w:r>
          </w:p>
        </w:tc>
        <w:tc>
          <w:tcPr>
            <w:tcW w:w="1032" w:type="dxa"/>
            <w:vAlign w:val="center"/>
          </w:tcPr>
          <w:p>
            <w:pPr>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379" w:type="dxa"/>
            <w:vMerge w:val="restart"/>
            <w:tcMar>
              <w:left w:w="28" w:type="dxa"/>
              <w:right w:w="28" w:type="dxa"/>
            </w:tcMar>
            <w:vAlign w:val="center"/>
          </w:tcPr>
          <w:p>
            <w:pPr>
              <w:spacing w:line="340" w:lineRule="exact"/>
              <w:ind w:firstLine="0" w:firstLineChars="0"/>
              <w:jc w:val="center"/>
              <w:rPr>
                <w:b/>
                <w:sz w:val="24"/>
              </w:rPr>
            </w:pPr>
            <w:r>
              <w:rPr>
                <w:b/>
                <w:sz w:val="24"/>
              </w:rPr>
              <w:t>创新驱动</w:t>
            </w:r>
          </w:p>
        </w:tc>
        <w:tc>
          <w:tcPr>
            <w:tcW w:w="3405" w:type="dxa"/>
            <w:tcMar>
              <w:left w:w="28" w:type="dxa"/>
              <w:right w:w="28" w:type="dxa"/>
            </w:tcMar>
            <w:vAlign w:val="center"/>
          </w:tcPr>
          <w:p>
            <w:pPr>
              <w:snapToGrid w:val="0"/>
              <w:spacing w:line="300" w:lineRule="exact"/>
              <w:ind w:firstLine="0" w:firstLineChars="0"/>
              <w:rPr>
                <w:color w:val="000000"/>
                <w:sz w:val="24"/>
                <w:highlight w:val="yellow"/>
              </w:rPr>
            </w:pPr>
            <w:r>
              <w:rPr>
                <w:color w:val="000000"/>
                <w:sz w:val="24"/>
              </w:rPr>
              <w:t>规上工业R&amp;D经费支出占营业收入比重</w:t>
            </w:r>
          </w:p>
        </w:tc>
        <w:tc>
          <w:tcPr>
            <w:tcW w:w="851" w:type="dxa"/>
            <w:tcMar>
              <w:left w:w="28" w:type="dxa"/>
              <w:right w:w="28" w:type="dxa"/>
            </w:tcMar>
            <w:vAlign w:val="center"/>
          </w:tcPr>
          <w:p>
            <w:pPr>
              <w:snapToGrid w:val="0"/>
              <w:spacing w:line="240" w:lineRule="auto"/>
              <w:ind w:firstLine="0" w:firstLineChars="0"/>
              <w:jc w:val="center"/>
              <w:rPr>
                <w:color w:val="000000"/>
                <w:sz w:val="24"/>
              </w:rPr>
            </w:pPr>
            <w:r>
              <w:rPr>
                <w:color w:val="000000"/>
                <w:sz w:val="24"/>
              </w:rPr>
              <w:t>%</w:t>
            </w:r>
          </w:p>
        </w:tc>
        <w:tc>
          <w:tcPr>
            <w:tcW w:w="1134" w:type="dxa"/>
            <w:vAlign w:val="center"/>
          </w:tcPr>
          <w:p>
            <w:pPr>
              <w:snapToGrid w:val="0"/>
              <w:spacing w:line="240" w:lineRule="auto"/>
              <w:ind w:firstLine="0" w:firstLineChars="0"/>
              <w:jc w:val="center"/>
              <w:rPr>
                <w:color w:val="000000"/>
                <w:sz w:val="24"/>
              </w:rPr>
            </w:pPr>
            <w:r>
              <w:rPr>
                <w:color w:val="000000"/>
                <w:sz w:val="24"/>
              </w:rPr>
              <w:t>2.14</w:t>
            </w:r>
            <w:r>
              <w:rPr>
                <w:rStyle w:val="34"/>
                <w:color w:val="000000"/>
                <w:sz w:val="24"/>
              </w:rPr>
              <w:footnoteReference w:id="1"/>
            </w:r>
          </w:p>
        </w:tc>
        <w:tc>
          <w:tcPr>
            <w:tcW w:w="1134" w:type="dxa"/>
            <w:tcMar>
              <w:left w:w="28" w:type="dxa"/>
              <w:right w:w="28" w:type="dxa"/>
            </w:tcMar>
            <w:vAlign w:val="center"/>
          </w:tcPr>
          <w:p>
            <w:pPr>
              <w:snapToGrid w:val="0"/>
              <w:spacing w:line="240" w:lineRule="auto"/>
              <w:ind w:firstLine="0" w:firstLineChars="0"/>
              <w:jc w:val="center"/>
              <w:rPr>
                <w:color w:val="000000"/>
                <w:sz w:val="24"/>
                <w:highlight w:val="yellow"/>
              </w:rPr>
            </w:pPr>
            <w:r>
              <w:rPr>
                <w:color w:val="000000"/>
                <w:sz w:val="24"/>
              </w:rPr>
              <w:t>2.</w:t>
            </w:r>
            <w:r>
              <w:rPr>
                <w:rFonts w:hint="eastAsia"/>
                <w:color w:val="000000"/>
                <w:sz w:val="24"/>
              </w:rPr>
              <w:t>8</w:t>
            </w:r>
          </w:p>
        </w:tc>
        <w:tc>
          <w:tcPr>
            <w:tcW w:w="1134" w:type="dxa"/>
            <w:vAlign w:val="center"/>
          </w:tcPr>
          <w:p>
            <w:pPr>
              <w:snapToGrid w:val="0"/>
              <w:spacing w:line="240" w:lineRule="auto"/>
              <w:ind w:firstLine="0" w:firstLineChars="0"/>
              <w:jc w:val="center"/>
              <w:rPr>
                <w:sz w:val="24"/>
              </w:rPr>
            </w:pPr>
            <w:r>
              <w:rPr>
                <w:sz w:val="24"/>
              </w:rPr>
              <w:t>[0.66]</w:t>
            </w:r>
          </w:p>
        </w:tc>
        <w:tc>
          <w:tcPr>
            <w:tcW w:w="1032" w:type="dxa"/>
            <w:vAlign w:val="center"/>
          </w:tcPr>
          <w:p>
            <w:pPr>
              <w:snapToGrid w:val="0"/>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napToGrid w:val="0"/>
              <w:spacing w:line="240" w:lineRule="auto"/>
              <w:ind w:firstLine="0" w:firstLineChars="0"/>
              <w:rPr>
                <w:color w:val="000000"/>
                <w:sz w:val="24"/>
              </w:rPr>
            </w:pPr>
            <w:r>
              <w:rPr>
                <w:color w:val="000000"/>
                <w:sz w:val="24"/>
              </w:rPr>
              <w:t>有效发明专利拥有量</w:t>
            </w:r>
          </w:p>
        </w:tc>
        <w:tc>
          <w:tcPr>
            <w:tcW w:w="851" w:type="dxa"/>
            <w:tcMar>
              <w:left w:w="28" w:type="dxa"/>
              <w:right w:w="28" w:type="dxa"/>
            </w:tcMar>
            <w:vAlign w:val="center"/>
          </w:tcPr>
          <w:p>
            <w:pPr>
              <w:snapToGrid w:val="0"/>
              <w:spacing w:line="240" w:lineRule="auto"/>
              <w:ind w:firstLine="0" w:firstLineChars="0"/>
              <w:jc w:val="center"/>
              <w:rPr>
                <w:color w:val="000000"/>
                <w:sz w:val="24"/>
              </w:rPr>
            </w:pPr>
            <w:r>
              <w:rPr>
                <w:color w:val="000000"/>
                <w:sz w:val="24"/>
              </w:rPr>
              <w:t>件</w:t>
            </w:r>
          </w:p>
        </w:tc>
        <w:tc>
          <w:tcPr>
            <w:tcW w:w="1134" w:type="dxa"/>
            <w:vAlign w:val="center"/>
          </w:tcPr>
          <w:p>
            <w:pPr>
              <w:snapToGrid w:val="0"/>
              <w:spacing w:line="240" w:lineRule="auto"/>
              <w:ind w:firstLine="0" w:firstLineChars="0"/>
              <w:jc w:val="center"/>
              <w:rPr>
                <w:color w:val="000000"/>
                <w:sz w:val="24"/>
              </w:rPr>
            </w:pPr>
            <w:r>
              <w:rPr>
                <w:color w:val="000000"/>
                <w:sz w:val="24"/>
              </w:rPr>
              <w:t>1580</w:t>
            </w:r>
          </w:p>
        </w:tc>
        <w:tc>
          <w:tcPr>
            <w:tcW w:w="1134" w:type="dxa"/>
            <w:tcMar>
              <w:left w:w="28" w:type="dxa"/>
              <w:right w:w="28" w:type="dxa"/>
            </w:tcMar>
            <w:vAlign w:val="center"/>
          </w:tcPr>
          <w:p>
            <w:pPr>
              <w:snapToGrid w:val="0"/>
              <w:spacing w:line="240" w:lineRule="auto"/>
              <w:ind w:firstLine="0" w:firstLineChars="0"/>
              <w:jc w:val="center"/>
              <w:rPr>
                <w:color w:val="000000"/>
                <w:sz w:val="24"/>
                <w:highlight w:val="yellow"/>
              </w:rPr>
            </w:pPr>
            <w:r>
              <w:rPr>
                <w:color w:val="000000"/>
                <w:sz w:val="24"/>
              </w:rPr>
              <w:t>2550</w:t>
            </w:r>
          </w:p>
        </w:tc>
        <w:tc>
          <w:tcPr>
            <w:tcW w:w="1134" w:type="dxa"/>
            <w:vAlign w:val="center"/>
          </w:tcPr>
          <w:p>
            <w:pPr>
              <w:snapToGrid w:val="0"/>
              <w:spacing w:line="240" w:lineRule="auto"/>
              <w:ind w:firstLine="0" w:firstLineChars="0"/>
              <w:jc w:val="center"/>
              <w:rPr>
                <w:sz w:val="24"/>
              </w:rPr>
            </w:pPr>
            <w:r>
              <w:rPr>
                <w:sz w:val="24"/>
              </w:rPr>
              <w:t>10</w:t>
            </w:r>
          </w:p>
        </w:tc>
        <w:tc>
          <w:tcPr>
            <w:tcW w:w="1032" w:type="dxa"/>
            <w:vAlign w:val="center"/>
          </w:tcPr>
          <w:p>
            <w:pPr>
              <w:snapToGrid w:val="0"/>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napToGrid w:val="0"/>
              <w:spacing w:line="240" w:lineRule="auto"/>
              <w:ind w:firstLine="0" w:firstLineChars="0"/>
              <w:rPr>
                <w:color w:val="000000"/>
                <w:sz w:val="24"/>
              </w:rPr>
            </w:pPr>
            <w:r>
              <w:rPr>
                <w:color w:val="000000"/>
                <w:sz w:val="24"/>
              </w:rPr>
              <w:t>规上工业企业新产品产值率</w:t>
            </w:r>
          </w:p>
        </w:tc>
        <w:tc>
          <w:tcPr>
            <w:tcW w:w="851" w:type="dxa"/>
            <w:tcMar>
              <w:left w:w="28" w:type="dxa"/>
              <w:right w:w="28" w:type="dxa"/>
            </w:tcMar>
            <w:vAlign w:val="center"/>
          </w:tcPr>
          <w:p>
            <w:pPr>
              <w:snapToGrid w:val="0"/>
              <w:spacing w:line="240" w:lineRule="auto"/>
              <w:ind w:firstLine="0" w:firstLineChars="0"/>
              <w:jc w:val="center"/>
              <w:rPr>
                <w:color w:val="000000"/>
                <w:sz w:val="24"/>
              </w:rPr>
            </w:pPr>
            <w:r>
              <w:rPr>
                <w:color w:val="000000"/>
                <w:sz w:val="24"/>
              </w:rPr>
              <w:t>%</w:t>
            </w:r>
          </w:p>
        </w:tc>
        <w:tc>
          <w:tcPr>
            <w:tcW w:w="1134" w:type="dxa"/>
            <w:vAlign w:val="center"/>
          </w:tcPr>
          <w:p>
            <w:pPr>
              <w:snapToGrid w:val="0"/>
              <w:spacing w:line="240" w:lineRule="auto"/>
              <w:ind w:firstLine="0" w:firstLineChars="0"/>
              <w:jc w:val="center"/>
              <w:rPr>
                <w:color w:val="000000"/>
                <w:sz w:val="24"/>
              </w:rPr>
            </w:pPr>
            <w:r>
              <w:rPr>
                <w:color w:val="000000"/>
                <w:sz w:val="24"/>
              </w:rPr>
              <w:t>43.48</w:t>
            </w:r>
          </w:p>
        </w:tc>
        <w:tc>
          <w:tcPr>
            <w:tcW w:w="1134" w:type="dxa"/>
            <w:tcMar>
              <w:left w:w="28" w:type="dxa"/>
              <w:right w:w="28" w:type="dxa"/>
            </w:tcMar>
            <w:vAlign w:val="center"/>
          </w:tcPr>
          <w:p>
            <w:pPr>
              <w:snapToGrid w:val="0"/>
              <w:spacing w:line="240" w:lineRule="auto"/>
              <w:ind w:firstLine="0" w:firstLineChars="0"/>
              <w:jc w:val="center"/>
              <w:rPr>
                <w:color w:val="000000"/>
                <w:sz w:val="24"/>
                <w:highlight w:val="yellow"/>
              </w:rPr>
            </w:pPr>
            <w:r>
              <w:rPr>
                <w:color w:val="000000"/>
                <w:sz w:val="24"/>
              </w:rPr>
              <w:t>50</w:t>
            </w:r>
          </w:p>
        </w:tc>
        <w:tc>
          <w:tcPr>
            <w:tcW w:w="1134" w:type="dxa"/>
            <w:vAlign w:val="center"/>
          </w:tcPr>
          <w:p>
            <w:pPr>
              <w:snapToGrid w:val="0"/>
              <w:spacing w:line="240" w:lineRule="auto"/>
              <w:ind w:firstLine="0" w:firstLineChars="0"/>
              <w:jc w:val="center"/>
              <w:rPr>
                <w:sz w:val="24"/>
              </w:rPr>
            </w:pPr>
            <w:r>
              <w:rPr>
                <w:sz w:val="24"/>
              </w:rPr>
              <w:t>[6.52]</w:t>
            </w:r>
          </w:p>
        </w:tc>
        <w:tc>
          <w:tcPr>
            <w:tcW w:w="1032" w:type="dxa"/>
            <w:vAlign w:val="center"/>
          </w:tcPr>
          <w:p>
            <w:pPr>
              <w:snapToGrid w:val="0"/>
              <w:spacing w:line="240" w:lineRule="auto"/>
              <w:ind w:firstLine="0" w:firstLineChars="0"/>
              <w:jc w:val="center"/>
              <w:rPr>
                <w:sz w:val="24"/>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379" w:type="dxa"/>
            <w:vMerge w:val="restart"/>
            <w:tcMar>
              <w:left w:w="28" w:type="dxa"/>
              <w:right w:w="28" w:type="dxa"/>
            </w:tcMar>
            <w:vAlign w:val="center"/>
          </w:tcPr>
          <w:p>
            <w:pPr>
              <w:spacing w:line="340" w:lineRule="exact"/>
              <w:ind w:firstLine="0" w:firstLineChars="0"/>
              <w:jc w:val="center"/>
              <w:rPr>
                <w:b/>
                <w:sz w:val="24"/>
              </w:rPr>
            </w:pPr>
            <w:r>
              <w:rPr>
                <w:b/>
                <w:sz w:val="24"/>
              </w:rPr>
              <w:t>结构优化</w:t>
            </w:r>
          </w:p>
        </w:tc>
        <w:tc>
          <w:tcPr>
            <w:tcW w:w="3405" w:type="dxa"/>
            <w:tcMar>
              <w:left w:w="28" w:type="dxa"/>
              <w:right w:w="28" w:type="dxa"/>
            </w:tcMar>
            <w:vAlign w:val="center"/>
          </w:tcPr>
          <w:p>
            <w:pPr>
              <w:snapToGrid w:val="0"/>
              <w:spacing w:line="240" w:lineRule="auto"/>
              <w:ind w:firstLine="0" w:firstLineChars="0"/>
              <w:rPr>
                <w:color w:val="000000"/>
                <w:sz w:val="24"/>
              </w:rPr>
            </w:pPr>
            <w:r>
              <w:rPr>
                <w:color w:val="000000"/>
                <w:sz w:val="24"/>
              </w:rPr>
              <w:t>数字经济核心产业占GDP比重</w:t>
            </w:r>
          </w:p>
        </w:tc>
        <w:tc>
          <w:tcPr>
            <w:tcW w:w="851" w:type="dxa"/>
            <w:tcMar>
              <w:left w:w="28" w:type="dxa"/>
              <w:right w:w="28" w:type="dxa"/>
            </w:tcMar>
            <w:vAlign w:val="center"/>
          </w:tcPr>
          <w:p>
            <w:pPr>
              <w:snapToGrid w:val="0"/>
              <w:spacing w:line="240" w:lineRule="auto"/>
              <w:ind w:firstLine="0" w:firstLineChars="0"/>
              <w:jc w:val="center"/>
              <w:rPr>
                <w:color w:val="000000"/>
                <w:sz w:val="24"/>
              </w:rPr>
            </w:pPr>
            <w:r>
              <w:rPr>
                <w:color w:val="000000"/>
                <w:sz w:val="24"/>
              </w:rPr>
              <w:t>%</w:t>
            </w:r>
          </w:p>
        </w:tc>
        <w:tc>
          <w:tcPr>
            <w:tcW w:w="1134" w:type="dxa"/>
            <w:vAlign w:val="center"/>
          </w:tcPr>
          <w:p>
            <w:pPr>
              <w:snapToGrid w:val="0"/>
              <w:spacing w:line="240" w:lineRule="auto"/>
              <w:ind w:firstLine="0" w:firstLineChars="0"/>
              <w:jc w:val="center"/>
              <w:rPr>
                <w:sz w:val="24"/>
              </w:rPr>
            </w:pPr>
            <w:r>
              <w:rPr>
                <w:sz w:val="24"/>
              </w:rPr>
              <w:t>56.0</w:t>
            </w:r>
            <w:r>
              <w:rPr>
                <w:rStyle w:val="34"/>
                <w:sz w:val="24"/>
              </w:rPr>
              <w:footnoteReference w:id="2"/>
            </w:r>
          </w:p>
        </w:tc>
        <w:tc>
          <w:tcPr>
            <w:tcW w:w="1134" w:type="dxa"/>
            <w:tcMar>
              <w:left w:w="28" w:type="dxa"/>
              <w:right w:w="28" w:type="dxa"/>
            </w:tcMar>
            <w:vAlign w:val="center"/>
          </w:tcPr>
          <w:p>
            <w:pPr>
              <w:snapToGrid w:val="0"/>
              <w:spacing w:line="240" w:lineRule="auto"/>
              <w:ind w:firstLine="0" w:firstLineChars="0"/>
              <w:jc w:val="center"/>
              <w:rPr>
                <w:sz w:val="24"/>
              </w:rPr>
            </w:pPr>
            <w:r>
              <w:rPr>
                <w:sz w:val="24"/>
              </w:rPr>
              <w:t>75</w:t>
            </w:r>
          </w:p>
        </w:tc>
        <w:tc>
          <w:tcPr>
            <w:tcW w:w="1134" w:type="dxa"/>
            <w:vAlign w:val="center"/>
          </w:tcPr>
          <w:p>
            <w:pPr>
              <w:snapToGrid w:val="0"/>
              <w:spacing w:line="240" w:lineRule="auto"/>
              <w:ind w:firstLine="0" w:firstLineChars="0"/>
              <w:jc w:val="center"/>
              <w:rPr>
                <w:sz w:val="24"/>
              </w:rPr>
            </w:pPr>
            <w:r>
              <w:rPr>
                <w:sz w:val="24"/>
              </w:rPr>
              <w:t>[19]</w:t>
            </w:r>
          </w:p>
        </w:tc>
        <w:tc>
          <w:tcPr>
            <w:tcW w:w="1032" w:type="dxa"/>
            <w:vAlign w:val="center"/>
          </w:tcPr>
          <w:p>
            <w:pPr>
              <w:snapToGrid w:val="0"/>
              <w:spacing w:line="240" w:lineRule="auto"/>
              <w:ind w:firstLine="0" w:firstLineChars="0"/>
              <w:jc w:val="center"/>
              <w:rPr>
                <w:rFonts w:eastAsia="宋体"/>
                <w:sz w:val="21"/>
              </w:rPr>
            </w:pPr>
            <w:r>
              <w:rPr>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napToGrid w:val="0"/>
              <w:spacing w:line="300" w:lineRule="exact"/>
              <w:ind w:firstLine="0" w:firstLineChars="0"/>
              <w:rPr>
                <w:sz w:val="24"/>
              </w:rPr>
            </w:pPr>
            <w:bookmarkStart w:id="30" w:name="_Hlk77082683"/>
            <w:bookmarkStart w:id="31" w:name="_Hlk79487527"/>
            <w:r>
              <w:rPr>
                <w:color w:val="000000"/>
                <w:sz w:val="24"/>
              </w:rPr>
              <w:t>战略性新兴产业增加值</w:t>
            </w:r>
            <w:bookmarkEnd w:id="30"/>
            <w:r>
              <w:rPr>
                <w:color w:val="000000"/>
                <w:sz w:val="24"/>
              </w:rPr>
              <w:t>占规上工业增加值比重</w:t>
            </w:r>
            <w:bookmarkEnd w:id="31"/>
          </w:p>
        </w:tc>
        <w:tc>
          <w:tcPr>
            <w:tcW w:w="851" w:type="dxa"/>
            <w:tcMar>
              <w:left w:w="28" w:type="dxa"/>
              <w:right w:w="28" w:type="dxa"/>
            </w:tcMar>
            <w:vAlign w:val="center"/>
          </w:tcPr>
          <w:p>
            <w:pPr>
              <w:snapToGrid w:val="0"/>
              <w:spacing w:line="240" w:lineRule="auto"/>
              <w:ind w:firstLine="0" w:firstLineChars="0"/>
              <w:jc w:val="center"/>
              <w:rPr>
                <w:sz w:val="24"/>
              </w:rPr>
            </w:pPr>
            <w:r>
              <w:rPr>
                <w:sz w:val="24"/>
              </w:rPr>
              <w:t>%</w:t>
            </w:r>
          </w:p>
        </w:tc>
        <w:tc>
          <w:tcPr>
            <w:tcW w:w="1134" w:type="dxa"/>
            <w:vAlign w:val="center"/>
          </w:tcPr>
          <w:p>
            <w:pPr>
              <w:snapToGrid w:val="0"/>
              <w:spacing w:line="240" w:lineRule="auto"/>
              <w:ind w:firstLine="0" w:firstLineChars="0"/>
              <w:jc w:val="center"/>
              <w:rPr>
                <w:color w:val="000000"/>
                <w:sz w:val="24"/>
              </w:rPr>
            </w:pPr>
            <w:r>
              <w:rPr>
                <w:color w:val="000000"/>
                <w:sz w:val="24"/>
              </w:rPr>
              <w:t>--</w:t>
            </w:r>
          </w:p>
        </w:tc>
        <w:tc>
          <w:tcPr>
            <w:tcW w:w="1134" w:type="dxa"/>
            <w:tcMar>
              <w:left w:w="28" w:type="dxa"/>
              <w:right w:w="28" w:type="dxa"/>
            </w:tcMar>
            <w:vAlign w:val="center"/>
          </w:tcPr>
          <w:p>
            <w:pPr>
              <w:snapToGrid w:val="0"/>
              <w:spacing w:line="240" w:lineRule="auto"/>
              <w:ind w:firstLine="0" w:firstLineChars="0"/>
              <w:jc w:val="center"/>
              <w:rPr>
                <w:color w:val="000000"/>
                <w:sz w:val="24"/>
              </w:rPr>
            </w:pPr>
            <w:r>
              <w:rPr>
                <w:color w:val="000000"/>
                <w:sz w:val="24"/>
              </w:rPr>
              <w:t>56</w:t>
            </w:r>
          </w:p>
        </w:tc>
        <w:tc>
          <w:tcPr>
            <w:tcW w:w="1134" w:type="dxa"/>
            <w:vAlign w:val="center"/>
          </w:tcPr>
          <w:p>
            <w:pPr>
              <w:snapToGrid w:val="0"/>
              <w:spacing w:line="240" w:lineRule="auto"/>
              <w:ind w:firstLine="0" w:firstLineChars="0"/>
              <w:jc w:val="center"/>
              <w:rPr>
                <w:sz w:val="24"/>
              </w:rPr>
            </w:pPr>
            <w:r>
              <w:rPr>
                <w:sz w:val="24"/>
              </w:rPr>
              <w:t>--</w:t>
            </w:r>
          </w:p>
        </w:tc>
        <w:tc>
          <w:tcPr>
            <w:tcW w:w="1032" w:type="dxa"/>
            <w:vAlign w:val="center"/>
          </w:tcPr>
          <w:p>
            <w:pPr>
              <w:snapToGrid w:val="0"/>
              <w:spacing w:line="240" w:lineRule="auto"/>
              <w:ind w:firstLine="0" w:firstLineChars="0"/>
              <w:jc w:val="center"/>
              <w:rPr>
                <w:rFonts w:eastAsia="宋体"/>
                <w:sz w:val="21"/>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napToGrid w:val="0"/>
              <w:spacing w:line="300" w:lineRule="exact"/>
              <w:ind w:firstLine="0" w:firstLineChars="0"/>
              <w:rPr>
                <w:sz w:val="24"/>
              </w:rPr>
            </w:pPr>
            <w:r>
              <w:rPr>
                <w:color w:val="000000"/>
                <w:sz w:val="24"/>
              </w:rPr>
              <w:t>高新技术产业增加值占规上工业增加值比重</w:t>
            </w:r>
          </w:p>
        </w:tc>
        <w:tc>
          <w:tcPr>
            <w:tcW w:w="851" w:type="dxa"/>
            <w:tcMar>
              <w:left w:w="28" w:type="dxa"/>
              <w:right w:w="28" w:type="dxa"/>
            </w:tcMar>
            <w:vAlign w:val="center"/>
          </w:tcPr>
          <w:p>
            <w:pPr>
              <w:snapToGrid w:val="0"/>
              <w:spacing w:line="240" w:lineRule="auto"/>
              <w:ind w:firstLine="0" w:firstLineChars="0"/>
              <w:jc w:val="center"/>
              <w:rPr>
                <w:sz w:val="24"/>
              </w:rPr>
            </w:pPr>
            <w:r>
              <w:rPr>
                <w:color w:val="000000"/>
                <w:sz w:val="24"/>
              </w:rPr>
              <w:t>%</w:t>
            </w:r>
          </w:p>
        </w:tc>
        <w:tc>
          <w:tcPr>
            <w:tcW w:w="1134" w:type="dxa"/>
            <w:vAlign w:val="center"/>
          </w:tcPr>
          <w:p>
            <w:pPr>
              <w:snapToGrid w:val="0"/>
              <w:spacing w:line="240" w:lineRule="auto"/>
              <w:ind w:firstLine="0" w:firstLineChars="0"/>
              <w:jc w:val="center"/>
              <w:rPr>
                <w:sz w:val="24"/>
              </w:rPr>
            </w:pPr>
            <w:r>
              <w:rPr>
                <w:sz w:val="24"/>
              </w:rPr>
              <w:t>64.2</w:t>
            </w:r>
          </w:p>
        </w:tc>
        <w:tc>
          <w:tcPr>
            <w:tcW w:w="1134" w:type="dxa"/>
            <w:tcMar>
              <w:left w:w="28" w:type="dxa"/>
              <w:right w:w="28" w:type="dxa"/>
            </w:tcMar>
            <w:vAlign w:val="center"/>
          </w:tcPr>
          <w:p>
            <w:pPr>
              <w:snapToGrid w:val="0"/>
              <w:spacing w:line="240" w:lineRule="auto"/>
              <w:ind w:firstLine="0" w:firstLineChars="0"/>
              <w:jc w:val="center"/>
              <w:rPr>
                <w:sz w:val="24"/>
              </w:rPr>
            </w:pPr>
            <w:r>
              <w:rPr>
                <w:sz w:val="24"/>
              </w:rPr>
              <w:t>70</w:t>
            </w:r>
          </w:p>
        </w:tc>
        <w:tc>
          <w:tcPr>
            <w:tcW w:w="1134" w:type="dxa"/>
            <w:vAlign w:val="center"/>
          </w:tcPr>
          <w:p>
            <w:pPr>
              <w:snapToGrid w:val="0"/>
              <w:spacing w:line="240" w:lineRule="auto"/>
              <w:ind w:firstLine="0" w:firstLineChars="0"/>
              <w:jc w:val="center"/>
              <w:rPr>
                <w:color w:val="000000"/>
                <w:sz w:val="24"/>
              </w:rPr>
            </w:pPr>
            <w:r>
              <w:rPr>
                <w:color w:val="000000"/>
                <w:kern w:val="0"/>
                <w:sz w:val="24"/>
                <w:szCs w:val="28"/>
              </w:rPr>
              <w:t>[5.8]</w:t>
            </w:r>
          </w:p>
        </w:tc>
        <w:tc>
          <w:tcPr>
            <w:tcW w:w="1032" w:type="dxa"/>
            <w:vAlign w:val="center"/>
          </w:tcPr>
          <w:p>
            <w:pPr>
              <w:snapToGrid w:val="0"/>
              <w:spacing w:line="240" w:lineRule="auto"/>
              <w:ind w:firstLine="0" w:firstLineChars="0"/>
              <w:jc w:val="center"/>
              <w:rPr>
                <w:rFonts w:eastAsia="宋体"/>
                <w:color w:val="000000"/>
                <w:sz w:val="21"/>
              </w:rPr>
            </w:pPr>
            <w:r>
              <w:rPr>
                <w:color w:val="00000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379" w:type="dxa"/>
            <w:vMerge w:val="restart"/>
            <w:tcMar>
              <w:left w:w="28" w:type="dxa"/>
              <w:right w:w="28" w:type="dxa"/>
            </w:tcMar>
            <w:vAlign w:val="center"/>
          </w:tcPr>
          <w:p>
            <w:pPr>
              <w:spacing w:line="340" w:lineRule="exact"/>
              <w:ind w:firstLine="0" w:firstLineChars="0"/>
              <w:jc w:val="center"/>
              <w:rPr>
                <w:b/>
                <w:sz w:val="24"/>
              </w:rPr>
            </w:pPr>
            <w:r>
              <w:rPr>
                <w:b/>
                <w:sz w:val="24"/>
              </w:rPr>
              <w:t>绿色集约</w:t>
            </w:r>
          </w:p>
        </w:tc>
        <w:tc>
          <w:tcPr>
            <w:tcW w:w="3405" w:type="dxa"/>
            <w:tcMar>
              <w:left w:w="28" w:type="dxa"/>
              <w:right w:w="28" w:type="dxa"/>
            </w:tcMar>
            <w:vAlign w:val="center"/>
          </w:tcPr>
          <w:p>
            <w:pPr>
              <w:snapToGrid w:val="0"/>
              <w:spacing w:line="300" w:lineRule="exact"/>
              <w:ind w:firstLine="0" w:firstLineChars="0"/>
              <w:rPr>
                <w:color w:val="000000"/>
                <w:sz w:val="24"/>
              </w:rPr>
            </w:pPr>
            <w:r>
              <w:rPr>
                <w:color w:val="000000"/>
                <w:sz w:val="24"/>
              </w:rPr>
              <w:t>规上工业单位增加值能耗降幅</w:t>
            </w:r>
          </w:p>
        </w:tc>
        <w:tc>
          <w:tcPr>
            <w:tcW w:w="851" w:type="dxa"/>
            <w:tcMar>
              <w:left w:w="28" w:type="dxa"/>
              <w:right w:w="28" w:type="dxa"/>
            </w:tcMar>
            <w:vAlign w:val="center"/>
          </w:tcPr>
          <w:p>
            <w:pPr>
              <w:snapToGrid w:val="0"/>
              <w:spacing w:line="240" w:lineRule="auto"/>
              <w:ind w:firstLine="0" w:firstLineChars="0"/>
              <w:jc w:val="center"/>
              <w:rPr>
                <w:color w:val="000000"/>
                <w:sz w:val="24"/>
              </w:rPr>
            </w:pPr>
            <w:r>
              <w:rPr>
                <w:color w:val="000000"/>
                <w:sz w:val="24"/>
              </w:rPr>
              <w:t>%</w:t>
            </w:r>
          </w:p>
        </w:tc>
        <w:tc>
          <w:tcPr>
            <w:tcW w:w="1134" w:type="dxa"/>
            <w:vAlign w:val="top"/>
          </w:tcPr>
          <w:p>
            <w:pPr>
              <w:ind w:firstLine="480"/>
            </w:pPr>
            <w:r>
              <w:rPr>
                <w:color w:val="000000"/>
                <w:sz w:val="24"/>
              </w:rPr>
              <w:t>--</w:t>
            </w:r>
          </w:p>
        </w:tc>
        <w:tc>
          <w:tcPr>
            <w:tcW w:w="1134" w:type="dxa"/>
            <w:tcMar>
              <w:left w:w="28" w:type="dxa"/>
              <w:right w:w="28" w:type="dxa"/>
            </w:tcMar>
            <w:vAlign w:val="center"/>
          </w:tcPr>
          <w:p>
            <w:pPr>
              <w:snapToGrid w:val="0"/>
              <w:spacing w:line="240" w:lineRule="exact"/>
              <w:ind w:firstLine="0" w:firstLineChars="0"/>
              <w:jc w:val="center"/>
              <w:rPr>
                <w:color w:val="000000"/>
                <w:sz w:val="24"/>
              </w:rPr>
            </w:pPr>
            <w:r>
              <w:rPr>
                <w:color w:val="000000"/>
                <w:sz w:val="24"/>
              </w:rPr>
              <w:t>按上级</w:t>
            </w:r>
          </w:p>
          <w:p>
            <w:pPr>
              <w:snapToGrid w:val="0"/>
              <w:spacing w:line="240" w:lineRule="exact"/>
              <w:ind w:firstLine="0" w:firstLineChars="0"/>
              <w:jc w:val="center"/>
              <w:rPr>
                <w:color w:val="000000"/>
                <w:sz w:val="24"/>
              </w:rPr>
            </w:pPr>
            <w:r>
              <w:rPr>
                <w:color w:val="000000"/>
                <w:sz w:val="24"/>
              </w:rPr>
              <w:t>要求</w:t>
            </w:r>
          </w:p>
        </w:tc>
        <w:tc>
          <w:tcPr>
            <w:tcW w:w="1134" w:type="dxa"/>
            <w:vAlign w:val="top"/>
          </w:tcPr>
          <w:p>
            <w:pPr>
              <w:ind w:firstLine="0" w:firstLineChars="0"/>
              <w:jc w:val="center"/>
            </w:pPr>
            <w:r>
              <w:rPr>
                <w:color w:val="000000"/>
                <w:sz w:val="24"/>
              </w:rPr>
              <w:t>--</w:t>
            </w:r>
          </w:p>
        </w:tc>
        <w:tc>
          <w:tcPr>
            <w:tcW w:w="1032" w:type="dxa"/>
            <w:vAlign w:val="center"/>
          </w:tcPr>
          <w:p>
            <w:pPr>
              <w:snapToGrid w:val="0"/>
              <w:spacing w:line="240" w:lineRule="auto"/>
              <w:ind w:firstLine="0" w:firstLineChars="0"/>
              <w:jc w:val="center"/>
              <w:rPr>
                <w:sz w:val="24"/>
              </w:rPr>
            </w:pPr>
            <w:r>
              <w:rPr>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379" w:type="dxa"/>
            <w:vMerge w:val="continue"/>
            <w:tcMar>
              <w:left w:w="28" w:type="dxa"/>
              <w:right w:w="28" w:type="dxa"/>
            </w:tcMar>
            <w:vAlign w:val="center"/>
          </w:tcPr>
          <w:p>
            <w:pPr>
              <w:spacing w:line="340" w:lineRule="exact"/>
              <w:ind w:firstLine="0" w:firstLineChars="0"/>
              <w:jc w:val="center"/>
              <w:rPr>
                <w:b/>
                <w:sz w:val="24"/>
              </w:rPr>
            </w:pPr>
          </w:p>
        </w:tc>
        <w:tc>
          <w:tcPr>
            <w:tcW w:w="3405" w:type="dxa"/>
            <w:tcMar>
              <w:left w:w="28" w:type="dxa"/>
              <w:right w:w="28" w:type="dxa"/>
            </w:tcMar>
            <w:vAlign w:val="center"/>
          </w:tcPr>
          <w:p>
            <w:pPr>
              <w:snapToGrid w:val="0"/>
              <w:spacing w:line="300" w:lineRule="atLeast"/>
              <w:ind w:firstLine="0" w:firstLineChars="0"/>
              <w:rPr>
                <w:sz w:val="24"/>
              </w:rPr>
            </w:pPr>
            <w:r>
              <w:rPr>
                <w:sz w:val="24"/>
              </w:rPr>
              <w:t>单位工业增加值二氧化碳排放降幅</w:t>
            </w:r>
          </w:p>
        </w:tc>
        <w:tc>
          <w:tcPr>
            <w:tcW w:w="851" w:type="dxa"/>
            <w:tcMar>
              <w:left w:w="28" w:type="dxa"/>
              <w:right w:w="28" w:type="dxa"/>
            </w:tcMar>
            <w:vAlign w:val="center"/>
          </w:tcPr>
          <w:p>
            <w:pPr>
              <w:snapToGrid w:val="0"/>
              <w:spacing w:line="240" w:lineRule="auto"/>
              <w:ind w:firstLine="0" w:firstLineChars="0"/>
              <w:jc w:val="center"/>
              <w:rPr>
                <w:sz w:val="24"/>
              </w:rPr>
            </w:pPr>
            <w:r>
              <w:rPr>
                <w:sz w:val="24"/>
              </w:rPr>
              <w:t>%</w:t>
            </w:r>
          </w:p>
        </w:tc>
        <w:tc>
          <w:tcPr>
            <w:tcW w:w="1134" w:type="dxa"/>
            <w:vAlign w:val="top"/>
          </w:tcPr>
          <w:p>
            <w:pPr>
              <w:ind w:firstLine="480"/>
            </w:pPr>
            <w:r>
              <w:rPr>
                <w:color w:val="000000"/>
                <w:sz w:val="24"/>
              </w:rPr>
              <w:t>--</w:t>
            </w:r>
          </w:p>
        </w:tc>
        <w:tc>
          <w:tcPr>
            <w:tcW w:w="1134" w:type="dxa"/>
            <w:tcMar>
              <w:left w:w="28" w:type="dxa"/>
              <w:right w:w="28" w:type="dxa"/>
            </w:tcMar>
            <w:vAlign w:val="center"/>
          </w:tcPr>
          <w:p>
            <w:pPr>
              <w:snapToGrid w:val="0"/>
              <w:spacing w:line="240" w:lineRule="exact"/>
              <w:ind w:firstLine="0" w:firstLineChars="0"/>
              <w:jc w:val="center"/>
              <w:rPr>
                <w:color w:val="000000"/>
                <w:sz w:val="24"/>
              </w:rPr>
            </w:pPr>
            <w:r>
              <w:rPr>
                <w:color w:val="000000"/>
                <w:sz w:val="24"/>
              </w:rPr>
              <w:t>按上级</w:t>
            </w:r>
          </w:p>
          <w:p>
            <w:pPr>
              <w:snapToGrid w:val="0"/>
              <w:spacing w:line="240" w:lineRule="exact"/>
              <w:ind w:firstLine="0" w:firstLineChars="0"/>
              <w:jc w:val="center"/>
              <w:rPr>
                <w:sz w:val="24"/>
              </w:rPr>
            </w:pPr>
            <w:r>
              <w:rPr>
                <w:color w:val="000000"/>
                <w:sz w:val="24"/>
              </w:rPr>
              <w:t>要求</w:t>
            </w:r>
          </w:p>
        </w:tc>
        <w:tc>
          <w:tcPr>
            <w:tcW w:w="1134" w:type="dxa"/>
            <w:vAlign w:val="top"/>
          </w:tcPr>
          <w:p>
            <w:pPr>
              <w:ind w:firstLine="0" w:firstLineChars="0"/>
              <w:jc w:val="center"/>
            </w:pPr>
            <w:r>
              <w:rPr>
                <w:color w:val="000000"/>
                <w:sz w:val="24"/>
              </w:rPr>
              <w:t>--</w:t>
            </w:r>
          </w:p>
        </w:tc>
        <w:tc>
          <w:tcPr>
            <w:tcW w:w="1032" w:type="dxa"/>
            <w:vAlign w:val="center"/>
          </w:tcPr>
          <w:p>
            <w:pPr>
              <w:snapToGrid w:val="0"/>
              <w:spacing w:line="240" w:lineRule="auto"/>
              <w:ind w:firstLine="0" w:firstLineChars="0"/>
              <w:jc w:val="center"/>
              <w:rPr>
                <w:sz w:val="24"/>
              </w:rPr>
            </w:pPr>
            <w:r>
              <w:rPr>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jc w:val="center"/>
        </w:trPr>
        <w:tc>
          <w:tcPr>
            <w:tcW w:w="379" w:type="dxa"/>
            <w:vMerge w:val="continue"/>
            <w:tcMar>
              <w:left w:w="28" w:type="dxa"/>
              <w:right w:w="28" w:type="dxa"/>
            </w:tcMar>
            <w:vAlign w:val="center"/>
          </w:tcPr>
          <w:p>
            <w:pPr>
              <w:spacing w:line="240" w:lineRule="auto"/>
              <w:ind w:firstLine="0" w:firstLineChars="0"/>
              <w:jc w:val="center"/>
              <w:rPr>
                <w:b/>
                <w:sz w:val="24"/>
              </w:rPr>
            </w:pPr>
          </w:p>
        </w:tc>
        <w:tc>
          <w:tcPr>
            <w:tcW w:w="3405" w:type="dxa"/>
            <w:tcMar>
              <w:left w:w="28" w:type="dxa"/>
              <w:right w:w="28" w:type="dxa"/>
            </w:tcMar>
            <w:vAlign w:val="center"/>
          </w:tcPr>
          <w:p>
            <w:pPr>
              <w:snapToGrid w:val="0"/>
              <w:spacing w:line="240" w:lineRule="auto"/>
              <w:ind w:firstLine="0" w:firstLineChars="0"/>
              <w:rPr>
                <w:sz w:val="24"/>
              </w:rPr>
            </w:pPr>
            <w:r>
              <w:rPr>
                <w:sz w:val="24"/>
              </w:rPr>
              <w:t>万元工业增加值用水量降幅</w:t>
            </w:r>
          </w:p>
        </w:tc>
        <w:tc>
          <w:tcPr>
            <w:tcW w:w="851" w:type="dxa"/>
            <w:tcMar>
              <w:left w:w="28" w:type="dxa"/>
              <w:right w:w="28" w:type="dxa"/>
            </w:tcMar>
            <w:vAlign w:val="center"/>
          </w:tcPr>
          <w:p>
            <w:pPr>
              <w:snapToGrid w:val="0"/>
              <w:spacing w:line="240" w:lineRule="auto"/>
              <w:ind w:firstLine="0" w:firstLineChars="0"/>
              <w:jc w:val="center"/>
              <w:rPr>
                <w:sz w:val="24"/>
              </w:rPr>
            </w:pPr>
            <w:r>
              <w:rPr>
                <w:sz w:val="24"/>
              </w:rPr>
              <w:t>%</w:t>
            </w:r>
          </w:p>
        </w:tc>
        <w:tc>
          <w:tcPr>
            <w:tcW w:w="1134" w:type="dxa"/>
            <w:vAlign w:val="top"/>
          </w:tcPr>
          <w:p>
            <w:pPr>
              <w:ind w:firstLine="480"/>
            </w:pPr>
            <w:r>
              <w:rPr>
                <w:color w:val="000000"/>
                <w:sz w:val="24"/>
              </w:rPr>
              <w:t>--</w:t>
            </w:r>
          </w:p>
        </w:tc>
        <w:tc>
          <w:tcPr>
            <w:tcW w:w="1134" w:type="dxa"/>
            <w:tcMar>
              <w:left w:w="28" w:type="dxa"/>
              <w:right w:w="28" w:type="dxa"/>
            </w:tcMar>
            <w:vAlign w:val="center"/>
          </w:tcPr>
          <w:p>
            <w:pPr>
              <w:snapToGrid w:val="0"/>
              <w:spacing w:line="240" w:lineRule="exact"/>
              <w:ind w:firstLine="0" w:firstLineChars="0"/>
              <w:jc w:val="center"/>
              <w:rPr>
                <w:color w:val="000000"/>
                <w:sz w:val="24"/>
              </w:rPr>
            </w:pPr>
            <w:r>
              <w:rPr>
                <w:color w:val="000000"/>
                <w:sz w:val="24"/>
              </w:rPr>
              <w:t>按上级</w:t>
            </w:r>
          </w:p>
          <w:p>
            <w:pPr>
              <w:snapToGrid w:val="0"/>
              <w:spacing w:line="240" w:lineRule="exact"/>
              <w:ind w:firstLine="0" w:firstLineChars="0"/>
              <w:jc w:val="center"/>
              <w:rPr>
                <w:sz w:val="24"/>
              </w:rPr>
            </w:pPr>
            <w:r>
              <w:rPr>
                <w:color w:val="000000"/>
                <w:sz w:val="24"/>
              </w:rPr>
              <w:t>要求</w:t>
            </w:r>
          </w:p>
        </w:tc>
        <w:tc>
          <w:tcPr>
            <w:tcW w:w="1134" w:type="dxa"/>
            <w:vAlign w:val="top"/>
          </w:tcPr>
          <w:p>
            <w:pPr>
              <w:ind w:firstLine="0" w:firstLineChars="0"/>
              <w:jc w:val="center"/>
            </w:pPr>
            <w:r>
              <w:rPr>
                <w:color w:val="000000"/>
                <w:sz w:val="24"/>
              </w:rPr>
              <w:t>--</w:t>
            </w:r>
          </w:p>
        </w:tc>
        <w:tc>
          <w:tcPr>
            <w:tcW w:w="1032" w:type="dxa"/>
            <w:vAlign w:val="center"/>
          </w:tcPr>
          <w:p>
            <w:pPr>
              <w:snapToGrid w:val="0"/>
              <w:spacing w:line="240" w:lineRule="auto"/>
              <w:ind w:firstLine="0" w:firstLineChars="0"/>
              <w:jc w:val="center"/>
              <w:rPr>
                <w:sz w:val="24"/>
              </w:rPr>
            </w:pPr>
            <w:r>
              <w:rPr>
                <w:sz w:val="24"/>
              </w:rPr>
              <w:t>约束性</w:t>
            </w:r>
          </w:p>
        </w:tc>
      </w:tr>
      <w:bookmarkEnd w:id="28"/>
      <w:bookmarkEnd w:id="29"/>
    </w:tbl>
    <w:p>
      <w:pPr>
        <w:snapToGrid w:val="0"/>
        <w:spacing w:line="240" w:lineRule="auto"/>
        <w:ind w:firstLine="0" w:firstLineChars="0"/>
        <w:rPr>
          <w:color w:val="000000"/>
          <w:sz w:val="18"/>
          <w:szCs w:val="18"/>
        </w:rPr>
      </w:pPr>
    </w:p>
    <w:p>
      <w:pPr>
        <w:spacing w:line="600" w:lineRule="exact"/>
        <w:ind w:firstLine="640"/>
        <w:outlineLvl w:val="0"/>
        <w:rPr>
          <w:rFonts w:eastAsia="黑体"/>
          <w:bCs/>
          <w:szCs w:val="32"/>
        </w:rPr>
      </w:pPr>
      <w:bookmarkStart w:id="32" w:name="_Hlk49777440"/>
      <w:bookmarkEnd w:id="32"/>
      <w:bookmarkStart w:id="33" w:name="_Toc94109603"/>
      <w:r>
        <w:rPr>
          <w:rFonts w:eastAsia="黑体"/>
          <w:bCs/>
          <w:szCs w:val="32"/>
        </w:rPr>
        <w:t>三、重点领域</w:t>
      </w:r>
      <w:bookmarkEnd w:id="33"/>
    </w:p>
    <w:p>
      <w:pPr>
        <w:spacing w:line="600" w:lineRule="exact"/>
        <w:ind w:firstLine="640"/>
        <w:outlineLvl w:val="1"/>
        <w:rPr>
          <w:rFonts w:eastAsia="楷体_GB2312"/>
          <w:bCs/>
          <w:szCs w:val="32"/>
        </w:rPr>
      </w:pPr>
      <w:bookmarkStart w:id="34" w:name="_Toc53403238"/>
      <w:bookmarkStart w:id="35" w:name="_Toc50385806"/>
      <w:bookmarkStart w:id="36" w:name="_Toc94109604"/>
      <w:r>
        <w:rPr>
          <w:rFonts w:eastAsia="楷体_GB2312"/>
          <w:bCs/>
          <w:szCs w:val="32"/>
        </w:rPr>
        <w:t>（一）重点发展四大新兴产业</w:t>
      </w:r>
      <w:bookmarkEnd w:id="34"/>
      <w:bookmarkEnd w:id="35"/>
      <w:r>
        <w:rPr>
          <w:rFonts w:eastAsia="楷体_GB2312"/>
          <w:bCs/>
          <w:szCs w:val="32"/>
        </w:rPr>
        <w:t>领域</w:t>
      </w:r>
      <w:bookmarkEnd w:id="36"/>
    </w:p>
    <w:p>
      <w:pPr>
        <w:spacing w:line="600" w:lineRule="exact"/>
        <w:ind w:firstLine="640"/>
      </w:pPr>
      <w:bookmarkStart w:id="37" w:name="_Hlk79492152"/>
      <w:r>
        <w:rPr>
          <w:szCs w:val="36"/>
        </w:rPr>
        <w:t>发挥科技创新和数字产业竞争优势，拉长锻强制造产业链、生态聚合创新链、协同畅通供应链，构建以数字产业为引领、生物医药、新材料、</w:t>
      </w:r>
      <w:r>
        <w:rPr>
          <w:rFonts w:hint="eastAsia"/>
          <w:szCs w:val="36"/>
        </w:rPr>
        <w:t>智能装备</w:t>
      </w:r>
      <w:r>
        <w:rPr>
          <w:szCs w:val="36"/>
        </w:rPr>
        <w:t>为协同的新兴产业体系。</w:t>
      </w:r>
      <w:bookmarkEnd w:id="37"/>
    </w:p>
    <w:p>
      <w:pPr>
        <w:tabs>
          <w:tab w:val="left" w:pos="851"/>
        </w:tabs>
        <w:spacing w:line="600" w:lineRule="exact"/>
        <w:ind w:firstLine="643"/>
        <w:outlineLvl w:val="2"/>
        <w:rPr>
          <w:b/>
          <w:bCs/>
          <w:szCs w:val="32"/>
        </w:rPr>
      </w:pPr>
      <w:r>
        <w:rPr>
          <w:b/>
          <w:bCs/>
          <w:szCs w:val="32"/>
        </w:rPr>
        <w:t>1．数字产业</w:t>
      </w:r>
    </w:p>
    <w:p>
      <w:pPr>
        <w:tabs>
          <w:tab w:val="left" w:pos="851"/>
        </w:tabs>
        <w:spacing w:line="600" w:lineRule="exact"/>
        <w:ind w:firstLine="640"/>
        <w:rPr>
          <w:szCs w:val="32"/>
        </w:rPr>
      </w:pPr>
      <w:r>
        <w:rPr>
          <w:szCs w:val="32"/>
        </w:rPr>
        <w:t>在巩固“软”优势的基础上，以三大省级实验室为创新引擎，重点做大做强人工智能产业，培育发展集成电路、5G物联网、智能</w:t>
      </w:r>
      <w:r>
        <w:rPr>
          <w:rFonts w:hint="eastAsia"/>
          <w:szCs w:val="32"/>
        </w:rPr>
        <w:t>硬件</w:t>
      </w:r>
      <w:r>
        <w:rPr>
          <w:szCs w:val="32"/>
        </w:rPr>
        <w:t>等硬科技产业，将余杭打造成为全球数字经济创新高地。到2025年，数字经济核心产业增加值达到2400亿元以上。</w:t>
      </w:r>
    </w:p>
    <w:p>
      <w:pPr>
        <w:tabs>
          <w:tab w:val="left" w:pos="851"/>
        </w:tabs>
        <w:spacing w:line="600" w:lineRule="exact"/>
        <w:ind w:firstLine="643"/>
      </w:pPr>
      <w:r>
        <w:rPr>
          <w:b/>
          <w:bCs/>
        </w:rPr>
        <w:t>——引领发展人工智能。</w:t>
      </w:r>
      <w:bookmarkStart w:id="38" w:name="_Hlk50095074"/>
      <w:r>
        <w:t>聚焦争创国家新一代人工智能创新发展试验区核心区，围绕人工智能的基础关键技术和算法、软件平台、硬件系统等，开展技术攻关和产业化。依托之江实验室、阿里达摩院等高能级创新载体，重点突破机器视觉、生物识别、语音识别、图形图像处理、智能人机交互、类脑信息处理、自主无人控制、神经网络芯片等基础关键、前沿颠覆性技术和算法，支持天枢人工智能开源开放平台、城市大脑国家新一代人工智能创新开放平台等做大做强生态，驱动人工智能产业链协同发展。拓展“AI+”工业智能、智慧物流、灾害风险预测、无人机调度、数字精准医疗等软硬件应用场景，开发一批具备复杂环境感知、灵活精准控制、群体实时协同等特征的智能化产品及智能技术服务。</w:t>
      </w:r>
      <w:bookmarkEnd w:id="38"/>
    </w:p>
    <w:p>
      <w:pPr>
        <w:tabs>
          <w:tab w:val="left" w:pos="851"/>
        </w:tabs>
        <w:spacing w:line="600" w:lineRule="exact"/>
        <w:ind w:firstLine="643"/>
      </w:pPr>
      <w:r>
        <w:rPr>
          <w:b/>
          <w:bCs/>
        </w:rPr>
        <w:t>——谋划发展集成电路。</w:t>
      </w:r>
      <w:r>
        <w:t>推进信息技术应用创新，支持开展自主知识产权芯片研发设计，加快发展类脑计算芯片、高性能计算芯片、人工智能芯片、嵌入式芯片、量子电路模拟器、光电混合芯片等。大力发展基于RISC-V开源指令集架构的芯片，拓展低功耗物联网等专用领域，加快突破高性能计算、人工智能等领域，构筑软硬联动的技术生态。全力打造国家先进系统芯片产业创新中心，提供基于IP核和EDA软件的芯片设计、仿真、测试和试生产服务。</w:t>
      </w:r>
    </w:p>
    <w:p>
      <w:pPr>
        <w:tabs>
          <w:tab w:val="left" w:pos="851"/>
        </w:tabs>
        <w:spacing w:line="600" w:lineRule="exact"/>
        <w:ind w:firstLine="643"/>
      </w:pPr>
      <w:r>
        <w:rPr>
          <w:b/>
          <w:bCs/>
        </w:rPr>
        <w:t>——培育发展5G物联网。</w:t>
      </w:r>
      <w:r>
        <w:t>结合现有产业基础和数字基础设施发展趋势，重点引入发展射频器件、光通信模块、5G小微型基站等5G通信关键元器件和设备。积极引培发展NB-IoT、LTE-M、5G等物联网蜂窝通信模块，突破网络切片、边缘计算、小型低功耗智能仪表等关键技术，降低模组成本，集成发展TSN工业数采设备、车联网和飞联网通信设备等智能终端。提升发展远红外、MEMS、视觉、水纹、光交互等传感器等，推进智能材料研发平台建设，开展智能传感器研发与测试公共服务，赋能长三角区域智能传感器基础研发和产业升级。</w:t>
      </w:r>
    </w:p>
    <w:p>
      <w:pPr>
        <w:tabs>
          <w:tab w:val="left" w:pos="851"/>
        </w:tabs>
        <w:spacing w:line="600" w:lineRule="exact"/>
        <w:ind w:firstLine="643"/>
      </w:pPr>
      <w:r>
        <w:rPr>
          <w:b/>
          <w:bCs/>
        </w:rPr>
        <w:t>——加快发展智能</w:t>
      </w:r>
      <w:r>
        <w:rPr>
          <w:rFonts w:hint="eastAsia"/>
          <w:b/>
          <w:bCs/>
        </w:rPr>
        <w:t>硬件</w:t>
      </w:r>
      <w:r>
        <w:rPr>
          <w:b/>
          <w:bCs/>
        </w:rPr>
        <w:t>。</w:t>
      </w:r>
      <w:r>
        <w:t>围绕信息娱乐、运动健身、医疗健康等应用领域，以支持骨干企业加快突破微型化供能、短距离无线通信、智能路由、智能安全监控、智能交互等关键技术，研发具有规模商业应用的头盔、眼镜、腕表、手环、穿戴式骨骼等可穿戴设备产品，积极开发特种用途智能可穿戴产品。积极融入主流智能家居产品生态体系，形成物联网终端智能互联。创新“产品+平台+服务”发展模式，优化提升终端用户体验。</w:t>
      </w:r>
    </w:p>
    <w:p>
      <w:pPr>
        <w:tabs>
          <w:tab w:val="left" w:pos="851"/>
        </w:tabs>
        <w:spacing w:line="600" w:lineRule="exact"/>
        <w:ind w:firstLine="643"/>
        <w:outlineLvl w:val="2"/>
        <w:rPr>
          <w:b/>
          <w:bCs/>
          <w:szCs w:val="32"/>
        </w:rPr>
      </w:pPr>
      <w:r>
        <w:rPr>
          <w:b/>
          <w:bCs/>
          <w:szCs w:val="32"/>
        </w:rPr>
        <w:t>2．生物医药</w:t>
      </w:r>
    </w:p>
    <w:p>
      <w:pPr>
        <w:spacing w:line="600" w:lineRule="exact"/>
        <w:ind w:firstLine="640"/>
        <w:rPr>
          <w:szCs w:val="32"/>
        </w:rPr>
      </w:pPr>
      <w:r>
        <w:rPr>
          <w:szCs w:val="32"/>
        </w:rPr>
        <w:t>根据浙江省打造具有国际竞争力的生命健康创新高地要求，顺应生物技术与数字技术融合新趋势，紧抓公众健康意识提升新机遇，加快提升产业自主创新能力和核心竞争力，打造全球生物医药研发高地。到2025年，规上健康制造业增加值达到80亿元。</w:t>
      </w:r>
    </w:p>
    <w:p>
      <w:pPr>
        <w:spacing w:line="600" w:lineRule="exact"/>
        <w:ind w:firstLine="643"/>
      </w:pPr>
      <w:r>
        <w:rPr>
          <w:b/>
          <w:bCs/>
          <w:szCs w:val="32"/>
        </w:rPr>
        <w:t>——重点发展</w:t>
      </w:r>
      <w:r>
        <w:rPr>
          <w:b/>
          <w:bCs/>
        </w:rPr>
        <w:t>高端医疗器械。</w:t>
      </w:r>
      <w:r>
        <w:t>发挥智能诊疗设备制造业创新中心等作用，推动神经科学、人工智能、生物信息等技术在医疗器械领域的融合发展，重点突破一批国家级、省级创新医疗器械。加快提升发展人工耳蜗、人工视网膜等智能化植（介）入产品。大力攻关医护机器人、实时成像手术机器人、微创诊疗器械等智慧医疗技术和产品。布局发展高端数字医学影像和诊断设备、先进治疗性设备、康复设备、医用级可穿戴式设备等智能医疗设备。积极发展基因检测、生化检测、POCT精准快诊等体外诊断设备和快检产品。</w:t>
      </w:r>
    </w:p>
    <w:p>
      <w:pPr>
        <w:spacing w:line="600" w:lineRule="exact"/>
        <w:ind w:firstLine="643"/>
      </w:pPr>
      <w:r>
        <w:rPr>
          <w:b/>
          <w:bCs/>
          <w:szCs w:val="32"/>
        </w:rPr>
        <w:t>——积极开展创新药研发。</w:t>
      </w:r>
      <w:r>
        <w:rPr>
          <w:szCs w:val="32"/>
        </w:rPr>
        <w:t>大力引进CRO第三方创新服务机构，支持医药创新企业成为上市许可持有人，构建完善涵盖</w:t>
      </w:r>
      <w:r>
        <w:t>基础研究、药物发现、药物设计、临床前开发、临床试验等环节的完整药物研发体系。积极研究针对“不可成药”靶点、肿瘤耐药性、作用时效等难题的创新药物设计和作用机制，大力发展重大疾病靶向药、个性化治疗和精准治疗药物、IO肿瘤免疫小分子药物、针对高发性免疫性疾病新药等。</w:t>
      </w:r>
      <w:r>
        <w:rPr>
          <w:szCs w:val="32"/>
        </w:rPr>
        <w:t>加快浙江大学医学中心、基因—细胞治疗与基因组医学浙江省工程研究中心等建设，布局发展新型抗体药物、重组蛋白药物、免疫细胞治疗药物、干细胞治疗药物、基因治疗药物等生物技术药，</w:t>
      </w:r>
      <w:r>
        <w:t>积极发展乳腺癌疫苗、胃癌疫苗、类风湿疫苗、高血压疫苗等治疗性疫苗。</w:t>
      </w:r>
    </w:p>
    <w:p>
      <w:pPr>
        <w:pStyle w:val="7"/>
        <w:spacing w:line="600" w:lineRule="exact"/>
        <w:ind w:firstLine="643"/>
        <w:rPr>
          <w:rFonts w:cs="Times New Roman"/>
          <w:kern w:val="2"/>
        </w:rPr>
      </w:pPr>
      <w:r>
        <w:rPr>
          <w:rFonts w:cs="Times New Roman"/>
          <w:b/>
          <w:bCs/>
        </w:rPr>
        <w:t>——打造数字健康服务生态。</w:t>
      </w:r>
      <w:r>
        <w:rPr>
          <w:rFonts w:cs="Times New Roman"/>
          <w:kern w:val="2"/>
        </w:rPr>
        <w:t>发挥余杭数字经济优势，依托数字·健康小镇、良渚生命科技小镇等，集聚发展基于云计算、物联网、人工智能的精准诊疗、AI辅助诊疗、智慧健康新业态。重点开发远程诊疗全方位服务平台、生命健康大数据共享平台等，发展健康体检和咨询、移动医疗、数字医养等健康管理服务。积极利用基因测序、细胞治疗、高端医学影像、大数据分析等技术手段，构建精准诊断技术、精准治疗、精准药物有机结合的精准医疗服务体系，在肿瘤、遗传性疾病、胎儿罕见病筛查等方面实现精准预防、诊断及治疗服务，探索发展精准医疗新业态。</w:t>
      </w:r>
    </w:p>
    <w:p>
      <w:pPr>
        <w:spacing w:line="600" w:lineRule="exact"/>
        <w:ind w:firstLine="643"/>
        <w:outlineLvl w:val="2"/>
        <w:rPr>
          <w:b/>
        </w:rPr>
      </w:pPr>
      <w:r>
        <w:rPr>
          <w:b/>
        </w:rPr>
        <w:t>3．新材料</w:t>
      </w:r>
    </w:p>
    <w:p>
      <w:pPr>
        <w:spacing w:line="600" w:lineRule="exact"/>
        <w:ind w:firstLine="640"/>
        <w:rPr>
          <w:szCs w:val="32"/>
        </w:rPr>
      </w:pPr>
      <w:r>
        <w:rPr>
          <w:szCs w:val="32"/>
        </w:rPr>
        <w:t>按照我省建设新材料科创高地要求和产业需求，做优提升行业关键基础材料，加快发展生物医药材料，谋划发展前沿新材料。到2025年，培育若干首批次新材料，将新材料行业打造成为全区产业发展新亮点。</w:t>
      </w:r>
    </w:p>
    <w:p>
      <w:pPr>
        <w:spacing w:line="600" w:lineRule="exact"/>
        <w:ind w:firstLine="643"/>
        <w:rPr>
          <w:szCs w:val="32"/>
        </w:rPr>
      </w:pPr>
      <w:r>
        <w:rPr>
          <w:b/>
          <w:bCs/>
          <w:color w:val="333333"/>
        </w:rPr>
        <w:t>——特色发展</w:t>
      </w:r>
      <w:bookmarkStart w:id="39" w:name="_Hlk79492268"/>
      <w:r>
        <w:rPr>
          <w:b/>
          <w:bCs/>
          <w:color w:val="333333"/>
        </w:rPr>
        <w:t>行业关键</w:t>
      </w:r>
      <w:r>
        <w:rPr>
          <w:b/>
          <w:szCs w:val="32"/>
        </w:rPr>
        <w:t>基础</w:t>
      </w:r>
      <w:r>
        <w:rPr>
          <w:b/>
          <w:bCs/>
          <w:color w:val="333333"/>
        </w:rPr>
        <w:t>材料</w:t>
      </w:r>
      <w:bookmarkEnd w:id="39"/>
      <w:r>
        <w:rPr>
          <w:b/>
          <w:bCs/>
          <w:color w:val="333333"/>
        </w:rPr>
        <w:t>。</w:t>
      </w:r>
      <w:r>
        <w:rPr>
          <w:szCs w:val="32"/>
        </w:rPr>
        <w:t>围绕高端装备、新基建等领域应用需求，持续深化铜基钎料、银钎料等无缝钎焊材研发创新，突破发展精密连接材料。提升发展功能性复合材料、热塑性蜂窝材料等，拓展5G通讯信号交换系统、云计算储存系统、自动驾驶信号采集系统、物联网射频系统、医疗设备、轨道交通、新能源等应用领域。加快石墨烯材料制备及应用产业化，拓展电子信息、纺织服装、能源产品、家居等应用领域。鼓励新材料企业围绕客户需求，提供结构设计、配方设计、工艺支持等新材料创新应用的整体解决方案。</w:t>
      </w:r>
    </w:p>
    <w:p>
      <w:pPr>
        <w:spacing w:line="600" w:lineRule="exact"/>
        <w:ind w:firstLine="643"/>
      </w:pPr>
      <w:r>
        <w:rPr>
          <w:b/>
          <w:bCs/>
        </w:rPr>
        <w:t>——协同发展</w:t>
      </w:r>
      <w:bookmarkStart w:id="40" w:name="_Hlk79492274"/>
      <w:r>
        <w:rPr>
          <w:b/>
          <w:bCs/>
        </w:rPr>
        <w:t>高端生物医药材料</w:t>
      </w:r>
      <w:bookmarkEnd w:id="40"/>
      <w:r>
        <w:rPr>
          <w:b/>
          <w:bCs/>
        </w:rPr>
        <w:t>。</w:t>
      </w:r>
      <w:r>
        <w:t>以植（介）入医用材料为重点，推进产业园及公共服务平台建设，加快相关创新型企业集聚，积极发展心脑血管支架、人造血管、人工瓣膜、人工关节、人工晶体等植（介）入医用材料；以组织工程与再生医学为重点，加快高端敷料、皮肤修复材料、组织器官修复创新及产业化，积极布局骨诱导修复材料、高生物相容性的口腔种植修复体等，探索发展中枢神经修复与再生的材料和产品。加快增材制造等新技术应用，支持企业发展3D打印器官组织、3D打印骨科植入物等高价值高技术含量的耗材器械。</w:t>
      </w:r>
    </w:p>
    <w:p>
      <w:pPr>
        <w:spacing w:line="600" w:lineRule="exact"/>
        <w:ind w:firstLine="643"/>
      </w:pPr>
      <w:r>
        <w:rPr>
          <w:b/>
          <w:bCs/>
        </w:rPr>
        <w:t>——谋划发展前沿新材料。</w:t>
      </w:r>
      <w:r>
        <w:t>追踪国内外技术与产业发展趋势，积极引进高端人才和创新资源，谋划发展形状记忆合金、自修复材料、智能仿生材料、超材料、液态金属、新型低温超导及低成本高温超导材料、耐极端环境材料等处于起步阶段或国内空白的新兴功能材料，加快高精尖技术引进和产业化，构建新材料产业新亮点、新优势。</w:t>
      </w:r>
    </w:p>
    <w:p>
      <w:pPr>
        <w:spacing w:line="600" w:lineRule="exact"/>
        <w:ind w:firstLine="643"/>
        <w:outlineLvl w:val="2"/>
        <w:rPr>
          <w:b/>
          <w:bCs/>
          <w:szCs w:val="32"/>
        </w:rPr>
      </w:pPr>
      <w:r>
        <w:rPr>
          <w:b/>
          <w:bCs/>
          <w:szCs w:val="32"/>
        </w:rPr>
        <w:t>4．</w:t>
      </w:r>
      <w:r>
        <w:rPr>
          <w:rFonts w:hint="eastAsia"/>
          <w:b/>
          <w:bCs/>
          <w:szCs w:val="32"/>
        </w:rPr>
        <w:t>智能装备</w:t>
      </w:r>
    </w:p>
    <w:p>
      <w:pPr>
        <w:spacing w:line="600" w:lineRule="exact"/>
        <w:ind w:firstLine="640"/>
      </w:pPr>
      <w:r>
        <w:rPr>
          <w:szCs w:val="32"/>
        </w:rPr>
        <w:t>对接省、市重点产业布局，聚焦节能环保</w:t>
      </w:r>
      <w:r>
        <w:rPr>
          <w:rFonts w:hint="eastAsia"/>
          <w:szCs w:val="32"/>
        </w:rPr>
        <w:t>及新能源高端</w:t>
      </w:r>
      <w:r>
        <w:rPr>
          <w:szCs w:val="32"/>
        </w:rPr>
        <w:t>装备，加快关键技术突破和价值链高端环节“补链”“强链”，</w:t>
      </w:r>
      <w:r>
        <w:rPr>
          <w:szCs w:val="21"/>
        </w:rPr>
        <w:t>推动装备产业数字化、</w:t>
      </w:r>
      <w:r>
        <w:rPr>
          <w:rFonts w:hint="eastAsia"/>
          <w:szCs w:val="21"/>
        </w:rPr>
        <w:t>智能化、</w:t>
      </w:r>
      <w:r>
        <w:rPr>
          <w:szCs w:val="21"/>
        </w:rPr>
        <w:t>服务化转型，</w:t>
      </w:r>
      <w:r>
        <w:rPr>
          <w:szCs w:val="32"/>
        </w:rPr>
        <w:t>打造集设计、研发、制造、服务于一体的智能装备发展体系。到2025年，培育新增省级以上首台（套）装备12件以上。</w:t>
      </w:r>
    </w:p>
    <w:p>
      <w:pPr>
        <w:spacing w:line="600" w:lineRule="exact"/>
        <w:ind w:firstLine="643"/>
        <w:rPr>
          <w:szCs w:val="32"/>
        </w:rPr>
      </w:pPr>
      <w:r>
        <w:rPr>
          <w:b/>
          <w:bCs/>
          <w:szCs w:val="32"/>
        </w:rPr>
        <w:t>——重点发展</w:t>
      </w:r>
      <w:r>
        <w:rPr>
          <w:rFonts w:hint="eastAsia"/>
          <w:b/>
          <w:bCs/>
          <w:szCs w:val="32"/>
        </w:rPr>
        <w:t>智能</w:t>
      </w:r>
      <w:r>
        <w:rPr>
          <w:b/>
          <w:bCs/>
          <w:szCs w:val="32"/>
        </w:rPr>
        <w:t>环保装备。</w:t>
      </w:r>
      <w:r>
        <w:rPr>
          <w:szCs w:val="32"/>
        </w:rPr>
        <w:t>以水污染处理为重点，针对工业废水、生活污水、农村污水处理及水生态修复需求，持续推进高端泵阀、关键零部件及污水处理、中水回用、生态养殖、海水淡化等成套系统的创新发展，延伸发展环境监测、咨询服务、环保工程、环保运营等上下游服务，打造完整水污染处理产业链。围绕垃圾减量化、资源化和无害化处置需求，支持企业积极攻关城镇生活垃圾智能化预处理、危废资源化利用与无害化处置、废弃电器电子产品处置等技术及成套系统，提升废弃资源综合利用效率。</w:t>
      </w:r>
    </w:p>
    <w:p>
      <w:pPr>
        <w:spacing w:line="600" w:lineRule="exact"/>
        <w:ind w:firstLine="643"/>
        <w:rPr>
          <w:b/>
          <w:bCs/>
          <w:szCs w:val="32"/>
        </w:rPr>
      </w:pPr>
      <w:r>
        <w:rPr>
          <w:b/>
          <w:bCs/>
          <w:szCs w:val="21"/>
        </w:rPr>
        <w:t>——着力攻坚</w:t>
      </w:r>
      <w:r>
        <w:rPr>
          <w:rFonts w:hint="eastAsia"/>
          <w:b/>
          <w:bCs/>
          <w:szCs w:val="21"/>
        </w:rPr>
        <w:t>智慧</w:t>
      </w:r>
      <w:r>
        <w:rPr>
          <w:b/>
          <w:bCs/>
          <w:szCs w:val="21"/>
        </w:rPr>
        <w:t>节能装备。</w:t>
      </w:r>
      <w:r>
        <w:rPr>
          <w:szCs w:val="21"/>
        </w:rPr>
        <w:t>以小型化、高转化、高可靠和免维护为方向，提升发展高效压缩机、节能电机、永磁同步电机等。积极发展新型太阳能电池及组件，推进柔性铜铟镓硒薄膜太阳能电池市场推广，加快新型钙钛矿薄膜太阳能电池产业化进程。突破锅炉余热循环利用技术，发展高等级空分装备，探索大功率联合循环发电解决方案。面向智慧电网，根据新能源接入消纳、智能微电网建设、轨道交通电气化、电网安全监测等需求，积极发展高安全性储能电站、智能仪器仪表、用电信息采集系统、特种线缆、智能巡检机器人等设备及系统解决方案。</w:t>
      </w:r>
    </w:p>
    <w:p>
      <w:pPr>
        <w:spacing w:line="600" w:lineRule="exact"/>
        <w:ind w:firstLine="640"/>
        <w:outlineLvl w:val="1"/>
        <w:rPr>
          <w:b/>
          <w:bCs/>
        </w:rPr>
      </w:pPr>
      <w:bookmarkStart w:id="41" w:name="_Toc53403240"/>
      <w:bookmarkStart w:id="42" w:name="_Toc50385808"/>
      <w:bookmarkStart w:id="43" w:name="_Toc94109605"/>
      <w:bookmarkStart w:id="44" w:name="_Toc50385807"/>
      <w:bookmarkStart w:id="45" w:name="_Toc53403239"/>
      <w:r>
        <w:rPr>
          <w:rFonts w:eastAsia="楷体_GB2312"/>
          <w:bCs/>
          <w:szCs w:val="32"/>
        </w:rPr>
        <w:t>（二）推动优势传统产业</w:t>
      </w:r>
      <w:bookmarkEnd w:id="41"/>
      <w:bookmarkEnd w:id="42"/>
      <w:r>
        <w:rPr>
          <w:rFonts w:eastAsia="楷体_GB2312"/>
          <w:bCs/>
          <w:szCs w:val="32"/>
        </w:rPr>
        <w:t>改造提升</w:t>
      </w:r>
      <w:bookmarkEnd w:id="43"/>
    </w:p>
    <w:p>
      <w:pPr>
        <w:spacing w:line="600" w:lineRule="exact"/>
        <w:ind w:firstLine="640"/>
      </w:pPr>
      <w:bookmarkStart w:id="46" w:name="_Hlk79492355"/>
      <w:r>
        <w:rPr>
          <w:szCs w:val="32"/>
        </w:rPr>
        <w:t>紧抓“双循环”格局构建重大机遇，面向不断升级的消费新需求，聚焦产业链价值化、价值链高端化发展要求，加快推进金属加工、纺织服装、食品加工、新型建材等特色优势领域转型升级与高质量发展，重塑产业新优势。</w:t>
      </w:r>
      <w:bookmarkEnd w:id="46"/>
    </w:p>
    <w:p>
      <w:pPr>
        <w:spacing w:line="600" w:lineRule="exact"/>
        <w:ind w:firstLine="643"/>
        <w:outlineLvl w:val="2"/>
        <w:rPr>
          <w:b/>
          <w:bCs/>
          <w:szCs w:val="32"/>
        </w:rPr>
      </w:pPr>
      <w:r>
        <w:rPr>
          <w:b/>
          <w:bCs/>
          <w:szCs w:val="32"/>
        </w:rPr>
        <w:t>1．金属加工</w:t>
      </w:r>
    </w:p>
    <w:p>
      <w:pPr>
        <w:spacing w:line="600" w:lineRule="exact"/>
        <w:ind w:firstLine="640"/>
        <w:rPr>
          <w:szCs w:val="32"/>
        </w:rPr>
      </w:pPr>
      <w:r>
        <w:rPr>
          <w:szCs w:val="32"/>
        </w:rPr>
        <w:t>面向铝加工、铜加工、黑色金属加工及机械零部件等行业，以绿色、集约、智能、高端为方向发展，突破新型合金热处理和表面处理、超薄快速铸轧、超细丝材加工等关键技术，重点发展异形材和精深加工产品，拓展汽车零部件、通用航空装备、电子信息硬件产品等应用领域。全面推进行业智能化技术改造、绿色制造，加快淘汰高能耗、高污染、低附加值企业。</w:t>
      </w:r>
    </w:p>
    <w:p>
      <w:pPr>
        <w:spacing w:line="600" w:lineRule="exact"/>
        <w:ind w:firstLine="643"/>
        <w:outlineLvl w:val="2"/>
        <w:rPr>
          <w:b/>
          <w:bCs/>
          <w:szCs w:val="32"/>
        </w:rPr>
      </w:pPr>
      <w:r>
        <w:rPr>
          <w:b/>
          <w:bCs/>
          <w:szCs w:val="32"/>
        </w:rPr>
        <w:t>2．纺织服装</w:t>
      </w:r>
    </w:p>
    <w:p>
      <w:pPr>
        <w:spacing w:line="600" w:lineRule="exact"/>
        <w:ind w:firstLine="640"/>
        <w:rPr>
          <w:szCs w:val="32"/>
        </w:rPr>
      </w:pPr>
      <w:r>
        <w:rPr>
          <w:szCs w:val="32"/>
        </w:rPr>
        <w:t>提升发展品牌丝绸服饰、高端定制服装等高附加值纺织品，积极开发</w:t>
      </w:r>
      <w:r>
        <w:t>环保过滤、医用防护品、婴幼儿卫生用品、时尚美妆用品等功能性织造（非织造）产品。全面提升企业柔性化制造能力，</w:t>
      </w:r>
      <w:r>
        <w:rPr>
          <w:kern w:val="0"/>
          <w:szCs w:val="32"/>
        </w:rPr>
        <w:t>探索大规模个性化定制、小批量快捷柔性化生产等新模式，</w:t>
      </w:r>
      <w:r>
        <w:rPr>
          <w:szCs w:val="22"/>
        </w:rPr>
        <w:t>鼓励开展面向个性化需求的服务模式和商业模式创新。</w:t>
      </w:r>
      <w:r>
        <w:rPr>
          <w:szCs w:val="32"/>
        </w:rPr>
        <w:t>引导企业融合时尚流行趋势、深挖传统文化内涵，强化创意设计，开展品牌提升，支持建设虚拟现实设计（VRD）、人工智能时尚创意设计等数字化设计平台，推动“数字+设计”协同赋能。</w:t>
      </w:r>
    </w:p>
    <w:p>
      <w:pPr>
        <w:spacing w:line="600" w:lineRule="exact"/>
        <w:ind w:firstLine="643"/>
        <w:outlineLvl w:val="2"/>
        <w:rPr>
          <w:b/>
          <w:bCs/>
          <w:szCs w:val="32"/>
        </w:rPr>
      </w:pPr>
      <w:r>
        <w:rPr>
          <w:b/>
          <w:bCs/>
          <w:szCs w:val="32"/>
        </w:rPr>
        <w:t>3．食品加工</w:t>
      </w:r>
    </w:p>
    <w:p>
      <w:pPr>
        <w:spacing w:line="600" w:lineRule="exact"/>
        <w:ind w:firstLine="640"/>
        <w:rPr>
          <w:szCs w:val="32"/>
        </w:rPr>
      </w:pPr>
      <w:r>
        <w:rPr>
          <w:szCs w:val="32"/>
        </w:rPr>
        <w:t>面向米面及肉制品加工等传统食品工业，加强从原料采购到生产销售的全流程质量管控，开展自动化、智能化技术改造，提升食品供给效率和质量水平。在产品设计开发、外形包装、市场营销等方面体现功能化和精细化，增加中高端产品供给。</w:t>
      </w:r>
      <w:r>
        <w:rPr>
          <w:szCs w:val="36"/>
        </w:rPr>
        <w:t>将知味观、富义仓等老字号纳入保护范围，建立老字号品牌保护、传承、发展机制。进一步挖掘文化精髓，推动文化与生产、营销等环节的有机融合。</w:t>
      </w:r>
    </w:p>
    <w:p>
      <w:pPr>
        <w:spacing w:line="600" w:lineRule="exact"/>
        <w:ind w:firstLine="643"/>
        <w:outlineLvl w:val="2"/>
        <w:rPr>
          <w:b/>
          <w:bCs/>
          <w:szCs w:val="32"/>
        </w:rPr>
      </w:pPr>
      <w:r>
        <w:rPr>
          <w:b/>
          <w:bCs/>
          <w:szCs w:val="32"/>
        </w:rPr>
        <w:t>4．新型建材</w:t>
      </w:r>
    </w:p>
    <w:p>
      <w:pPr>
        <w:spacing w:line="600" w:lineRule="exact"/>
        <w:ind w:firstLine="640"/>
        <w:rPr>
          <w:szCs w:val="32"/>
        </w:rPr>
      </w:pPr>
      <w:r>
        <w:rPr>
          <w:szCs w:val="32"/>
        </w:rPr>
        <w:t>聚焦家居材料、建筑材料、竹制品等，加快推动产品功能性能和品质提升，积极发展混凝土预制构件、钢结构预制件等装配式建筑材料。按照智能建造等新要求，鼓励骨干企业建立设计、选材、配送、施工一体化网络服务平台，支持培育建立新型建材共性技术研发、检验检测、标准、认证等公共服务平台，应用数字化技术提升工程咨询设计、协同设计与定制、总包服务及解决方案供给能力，拓展产品全生命周期管理服务。</w:t>
      </w:r>
    </w:p>
    <w:p>
      <w:pPr>
        <w:spacing w:line="600" w:lineRule="exact"/>
        <w:ind w:firstLine="640"/>
        <w:outlineLvl w:val="1"/>
        <w:rPr>
          <w:rFonts w:eastAsia="楷体_GB2312"/>
          <w:bCs/>
          <w:szCs w:val="32"/>
        </w:rPr>
      </w:pPr>
      <w:bookmarkStart w:id="47" w:name="_Toc94109606"/>
      <w:r>
        <w:rPr>
          <w:rFonts w:eastAsia="楷体_GB2312"/>
          <w:bCs/>
          <w:szCs w:val="32"/>
        </w:rPr>
        <w:t>（三）积极谋划未来产业领域</w:t>
      </w:r>
      <w:bookmarkEnd w:id="44"/>
      <w:bookmarkEnd w:id="45"/>
      <w:bookmarkEnd w:id="47"/>
    </w:p>
    <w:p>
      <w:pPr>
        <w:spacing w:line="600" w:lineRule="exact"/>
        <w:ind w:firstLine="640"/>
      </w:pPr>
      <w:bookmarkStart w:id="48" w:name="_Hlk79492389"/>
      <w:r>
        <w:t>面向未来产业发展机遇和未来市场场景需求，契合国家省市产业重点布局，结合余杭现有资源禀赋及产业基础，聚焦数字经济、航空科技、生命健康等领域，谋划布局未来产业，争创全省未来产业先导区，将余杭打造成为全球未来产业</w:t>
      </w:r>
      <w:r>
        <w:rPr>
          <w:rFonts w:hint="eastAsia"/>
        </w:rPr>
        <w:t>引领</w:t>
      </w:r>
      <w:r>
        <w:t>地。</w:t>
      </w:r>
      <w:bookmarkEnd w:id="48"/>
    </w:p>
    <w:p>
      <w:pPr>
        <w:spacing w:line="600" w:lineRule="exact"/>
        <w:ind w:firstLine="643"/>
        <w:outlineLvl w:val="2"/>
        <w:rPr>
          <w:b/>
          <w:bCs/>
          <w:szCs w:val="32"/>
        </w:rPr>
      </w:pPr>
      <w:r>
        <w:rPr>
          <w:b/>
          <w:bCs/>
          <w:szCs w:val="32"/>
        </w:rPr>
        <w:t>1．数字经济前沿领域</w:t>
      </w:r>
    </w:p>
    <w:p>
      <w:pPr>
        <w:spacing w:line="600" w:lineRule="exact"/>
        <w:ind w:firstLine="640"/>
        <w:rPr>
          <w:szCs w:val="32"/>
        </w:rPr>
      </w:pPr>
      <w:r>
        <w:rPr>
          <w:szCs w:val="32"/>
        </w:rPr>
        <w:t>鼓励头部企业积极参与6G网络通信技术和标准研究，突破大规模无线通信物理层基础理论与技术、太赫兹无线通信技术与系统、面向基站的大规模无线通信新型天线与射频技术、毫米波一体化射频前端系统关键技术等，构建万物智联的新型立体网络。针对可能引发人工智能范式变革的方向，前瞻布局高级机器学习、类脑智能计算、量子智能计算等跨领域基础理论研究。加快突破低时延快速渲染、虚拟仿真引擎等关键技术，推动虚拟现实、人工智能、区块链等技术融合应用，开展元宇宙相关技术布局和场景应用挖掘。</w:t>
      </w:r>
      <w:r>
        <w:rPr>
          <w:color w:val="000000"/>
        </w:rPr>
        <w:t>推进量子精密测量大科学装置建设，开展多种物理量的超高精度测量，创新发展量子电路模拟器、超导量子芯片、量子计算机等，谋划打造量子通信设备制造基地。</w:t>
      </w:r>
    </w:p>
    <w:p>
      <w:pPr>
        <w:spacing w:line="600" w:lineRule="exact"/>
        <w:ind w:firstLine="643"/>
        <w:outlineLvl w:val="2"/>
        <w:rPr>
          <w:b/>
          <w:bCs/>
          <w:szCs w:val="32"/>
        </w:rPr>
      </w:pPr>
      <w:r>
        <w:rPr>
          <w:b/>
          <w:bCs/>
          <w:szCs w:val="32"/>
        </w:rPr>
        <w:t>2．航空科技领域</w:t>
      </w:r>
    </w:p>
    <w:p>
      <w:pPr>
        <w:spacing w:line="600" w:lineRule="exact"/>
        <w:ind w:firstLine="640"/>
        <w:rPr>
          <w:szCs w:val="32"/>
        </w:rPr>
      </w:pPr>
      <w:r>
        <w:rPr>
          <w:szCs w:val="32"/>
        </w:rPr>
        <w:t>充分发挥之江实验室、中法航空大学、北航杭州创新研究院（余杭）等重大平台作用，以创建国家民用无人驾驶航空试验区核心区为契机，推动中国（杭州）航空科技小镇建设，加快构建航空装备研发设计、关键系统设备制造及平台数据服务等为主的产业链。加快突破航空合金材料及复合材料、无人机数据链、高精高速导航、空天传感等关键核心技术，重点发展智能光电传感器和光电吊舱、飞行控制系统、多导航系统、通信传输系统等机载设备系统及关键零部件，积极引入发展无人机整机制造，探索发展无人机用涡轮发动机。谋划布局发展北斗产业，探索引入卫星试验中心项目以及配套卫星基站等建设，开展空天信息和卫星互联网服务。</w:t>
      </w:r>
    </w:p>
    <w:p>
      <w:pPr>
        <w:spacing w:line="600" w:lineRule="exact"/>
        <w:ind w:firstLine="643"/>
        <w:outlineLvl w:val="2"/>
        <w:rPr>
          <w:b/>
          <w:bCs/>
          <w:szCs w:val="32"/>
        </w:rPr>
      </w:pPr>
      <w:r>
        <w:rPr>
          <w:b/>
          <w:bCs/>
          <w:szCs w:val="32"/>
        </w:rPr>
        <w:t>3．生命健康领域</w:t>
      </w:r>
    </w:p>
    <w:p>
      <w:pPr>
        <w:spacing w:line="600" w:lineRule="exact"/>
        <w:ind w:firstLine="640"/>
      </w:pPr>
      <w:r>
        <w:t>以未来生命健康及疾病防治技术为主要方向，积极布局基因编辑、合成生物学、新型人源化动物模型、组织/器官芯片、表观遗传学、数字克隆人、心脏细胞再生、脑科学等前沿性、革命性、颠覆性生命健康技术，探索发展高端数字医学影像和诊断设备、脑机接口系统、纳米生物机器人等创新型智能诊疗产品。推进前沿数字技术在生物医药研发中的应用，积极探索iCLIP、AI虚拟筛选技术等，推广应用人工智能药物开发、人体器官芯片替代临床试验、智能医药研发辅助、虚拟临床试验、数字生物标记等新型研发模式。积极发展远程诊疗、基因诊断、精准医疗、数字医养、智能健康管理等“互联网+”健康服务产业，面向未来构建“AI+生命健康”产业链。</w:t>
      </w:r>
      <w:r>
        <w:br w:type="page"/>
      </w:r>
    </w:p>
    <w:p>
      <w:pPr>
        <w:spacing w:line="600" w:lineRule="exact"/>
        <w:ind w:firstLine="640"/>
        <w:outlineLvl w:val="0"/>
        <w:rPr>
          <w:rFonts w:eastAsia="黑体"/>
          <w:bCs/>
          <w:szCs w:val="32"/>
        </w:rPr>
      </w:pPr>
      <w:bookmarkStart w:id="49" w:name="_Toc50385809"/>
      <w:bookmarkStart w:id="50" w:name="_Toc53403241"/>
      <w:bookmarkStart w:id="51" w:name="_Toc94109607"/>
      <w:r>
        <w:rPr>
          <w:rFonts w:eastAsia="黑体"/>
          <w:bCs/>
          <w:szCs w:val="32"/>
        </w:rPr>
        <w:t>四、空间布局</w:t>
      </w:r>
      <w:bookmarkEnd w:id="49"/>
      <w:bookmarkEnd w:id="50"/>
      <w:bookmarkEnd w:id="51"/>
    </w:p>
    <w:p>
      <w:pPr>
        <w:ind w:firstLine="640"/>
        <w:rPr>
          <w:szCs w:val="32"/>
        </w:rPr>
      </w:pPr>
      <w:bookmarkStart w:id="52" w:name="_Hlk79492444"/>
      <w:r>
        <w:rPr>
          <w:szCs w:val="32"/>
        </w:rPr>
        <w:t>根据浙江省园区平台整合提升的要求，以及《杭州市产业发展导向目录与产业平台布局指引》等，结合余杭区产业平台实际发展情况，推进</w:t>
      </w:r>
      <w:r>
        <w:rPr>
          <w:rFonts w:hint="eastAsia"/>
          <w:szCs w:val="32"/>
        </w:rPr>
        <w:t>三大</w:t>
      </w:r>
      <w:r>
        <w:rPr>
          <w:szCs w:val="32"/>
        </w:rPr>
        <w:t>产业主平台整合</w:t>
      </w:r>
      <w:r>
        <w:rPr>
          <w:rFonts w:hint="eastAsia"/>
          <w:szCs w:val="32"/>
        </w:rPr>
        <w:t>发展</w:t>
      </w:r>
      <w:r>
        <w:rPr>
          <w:szCs w:val="32"/>
        </w:rPr>
        <w:t>，着力</w:t>
      </w:r>
      <w:r>
        <w:rPr>
          <w:rFonts w:hint="eastAsia"/>
          <w:szCs w:val="32"/>
        </w:rPr>
        <w:t>推动镇街工业平台等协同提升，</w:t>
      </w:r>
      <w:r>
        <w:rPr>
          <w:szCs w:val="32"/>
        </w:rPr>
        <w:t>构筑“</w:t>
      </w:r>
      <w:r>
        <w:rPr>
          <w:rFonts w:hint="eastAsia"/>
          <w:szCs w:val="32"/>
        </w:rPr>
        <w:t>3+X</w:t>
      </w:r>
      <w:r>
        <w:rPr>
          <w:szCs w:val="32"/>
        </w:rPr>
        <w:t>”制造业高质量发展空间</w:t>
      </w:r>
      <w:r>
        <w:rPr>
          <w:rFonts w:hint="eastAsia"/>
          <w:szCs w:val="32"/>
        </w:rPr>
        <w:t>体系</w:t>
      </w:r>
      <w:r>
        <w:rPr>
          <w:szCs w:val="32"/>
        </w:rPr>
        <w:t>。</w:t>
      </w:r>
      <w:bookmarkEnd w:id="52"/>
    </w:p>
    <w:p>
      <w:pPr>
        <w:spacing w:line="600" w:lineRule="exact"/>
        <w:ind w:firstLine="640"/>
        <w:outlineLvl w:val="1"/>
        <w:rPr>
          <w:b/>
          <w:bCs/>
        </w:rPr>
      </w:pPr>
      <w:bookmarkStart w:id="53" w:name="_Toc50385810"/>
      <w:bookmarkStart w:id="54" w:name="_Toc53403242"/>
      <w:bookmarkStart w:id="55" w:name="_Toc94109608"/>
      <w:r>
        <w:rPr>
          <w:rFonts w:eastAsia="楷体_GB2312"/>
          <w:bCs/>
          <w:szCs w:val="32"/>
        </w:rPr>
        <w:t>（一）构筑</w:t>
      </w:r>
      <w:r>
        <w:rPr>
          <w:rFonts w:hint="eastAsia" w:eastAsia="楷体_GB2312"/>
          <w:bCs/>
          <w:szCs w:val="32"/>
        </w:rPr>
        <w:t>三大</w:t>
      </w:r>
      <w:r>
        <w:rPr>
          <w:rFonts w:eastAsia="楷体_GB2312"/>
          <w:bCs/>
          <w:szCs w:val="32"/>
        </w:rPr>
        <w:t>产业主平台</w:t>
      </w:r>
      <w:bookmarkEnd w:id="53"/>
      <w:bookmarkEnd w:id="54"/>
      <w:bookmarkEnd w:id="55"/>
    </w:p>
    <w:p>
      <w:pPr>
        <w:ind w:firstLine="643"/>
        <w:outlineLvl w:val="2"/>
        <w:rPr>
          <w:b/>
          <w:bCs/>
          <w:szCs w:val="32"/>
        </w:rPr>
      </w:pPr>
      <w:r>
        <w:rPr>
          <w:b/>
          <w:bCs/>
          <w:szCs w:val="32"/>
        </w:rPr>
        <w:t>1．钱江经济开发区：智造核</w:t>
      </w:r>
    </w:p>
    <w:p>
      <w:pPr>
        <w:ind w:firstLine="640"/>
        <w:rPr>
          <w:szCs w:val="32"/>
        </w:rPr>
      </w:pPr>
      <w:r>
        <w:rPr>
          <w:szCs w:val="32"/>
        </w:rPr>
        <w:t>将钱江经济开发区作为余杭先进制造业发展主平台，加强用地、用能、环保等指标配置，重点以智能制造为主攻方向，</w:t>
      </w:r>
      <w:r>
        <w:rPr>
          <w:rFonts w:ascii="仿宋_GB2312"/>
          <w:bCs/>
          <w:color w:val="000000"/>
        </w:rPr>
        <w:t>大力发展新材料、新装备、新能源产业，</w:t>
      </w:r>
      <w:r>
        <w:rPr>
          <w:szCs w:val="32"/>
        </w:rPr>
        <w:t>聚焦集成电路与智能硬件、大型成套智能装备、节能环保装备、</w:t>
      </w:r>
      <w:r>
        <w:rPr>
          <w:rFonts w:hint="eastAsia"/>
          <w:szCs w:val="32"/>
        </w:rPr>
        <w:t>高端</w:t>
      </w:r>
      <w:r>
        <w:rPr>
          <w:szCs w:val="32"/>
        </w:rPr>
        <w:t>医药器械设备等产业领域，积承接未来科技城优质产业化项目，加快重大项目引入建设。整合</w:t>
      </w:r>
      <w:r>
        <w:rPr>
          <w:rFonts w:hint="eastAsia"/>
          <w:szCs w:val="32"/>
        </w:rPr>
        <w:t>提升</w:t>
      </w:r>
      <w:r>
        <w:rPr>
          <w:szCs w:val="32"/>
        </w:rPr>
        <w:t>仁和大运河工业园</w:t>
      </w:r>
      <w:r>
        <w:rPr>
          <w:rFonts w:hint="eastAsia"/>
          <w:szCs w:val="32"/>
        </w:rPr>
        <w:t>等</w:t>
      </w:r>
      <w:r>
        <w:rPr>
          <w:szCs w:val="32"/>
        </w:rPr>
        <w:t>平台，进一步提升平台规模能级。力争到2025年，规上工业产值超500亿，争创</w:t>
      </w:r>
      <w:r>
        <w:rPr>
          <w:bCs/>
          <w:color w:val="000000"/>
          <w:szCs w:val="32"/>
        </w:rPr>
        <w:t>国家级经济技术开发区</w:t>
      </w:r>
      <w:r>
        <w:rPr>
          <w:szCs w:val="32"/>
        </w:rPr>
        <w:t>，将钱江经济开发区打造成为长三角智能制造示范区</w:t>
      </w:r>
      <w:r>
        <w:rPr>
          <w:rFonts w:hint="eastAsia"/>
          <w:szCs w:val="32"/>
        </w:rPr>
        <w:t>、</w:t>
      </w:r>
      <w:r>
        <w:rPr>
          <w:szCs w:val="32"/>
        </w:rPr>
        <w:t>创新发展总部基地引领区</w:t>
      </w:r>
      <w:r>
        <w:rPr>
          <w:bCs/>
          <w:color w:val="000000"/>
          <w:szCs w:val="32"/>
        </w:rPr>
        <w:t>。</w:t>
      </w:r>
    </w:p>
    <w:p>
      <w:pPr>
        <w:pStyle w:val="7"/>
        <w:ind w:firstLine="560"/>
        <w:jc w:val="center"/>
        <w:rPr>
          <w:rFonts w:eastAsia="黑体" w:cs="Times New Roman"/>
          <w:sz w:val="28"/>
        </w:rPr>
      </w:pPr>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3</w:t>
      </w:r>
      <w:r>
        <w:rPr>
          <w:rFonts w:eastAsia="黑体" w:cs="Times New Roman"/>
          <w:sz w:val="28"/>
        </w:rPr>
        <w:fldChar w:fldCharType="end"/>
      </w:r>
      <w:r>
        <w:rPr>
          <w:rFonts w:eastAsia="黑体" w:cs="Times New Roman"/>
          <w:sz w:val="28"/>
        </w:rPr>
        <w:t xml:space="preserve"> 钱江经济开发区片区重点产业平台发展功能定位</w:t>
      </w:r>
    </w:p>
    <w:tbl>
      <w:tblPr>
        <w:tblStyle w:val="36"/>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410"/>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exact"/>
          <w:jc w:val="center"/>
        </w:trPr>
        <w:tc>
          <w:tcPr>
            <w:tcW w:w="2381" w:type="dxa"/>
            <w:vMerge w:val="restart"/>
            <w:vAlign w:val="center"/>
          </w:tcPr>
          <w:p>
            <w:pPr>
              <w:spacing w:line="240" w:lineRule="atLeast"/>
              <w:ind w:firstLine="0" w:firstLineChars="0"/>
              <w:jc w:val="center"/>
              <w:rPr>
                <w:b/>
                <w:sz w:val="24"/>
              </w:rPr>
            </w:pPr>
            <w:r>
              <w:rPr>
                <w:b/>
                <w:sz w:val="24"/>
              </w:rPr>
              <w:t>产业园区名称</w:t>
            </w:r>
          </w:p>
        </w:tc>
        <w:tc>
          <w:tcPr>
            <w:tcW w:w="2410" w:type="dxa"/>
            <w:vMerge w:val="restart"/>
            <w:vAlign w:val="center"/>
          </w:tcPr>
          <w:p>
            <w:pPr>
              <w:spacing w:line="240" w:lineRule="atLeast"/>
              <w:ind w:firstLine="0" w:firstLineChars="0"/>
              <w:jc w:val="center"/>
              <w:rPr>
                <w:b/>
                <w:sz w:val="24"/>
              </w:rPr>
            </w:pPr>
            <w:r>
              <w:rPr>
                <w:b/>
                <w:sz w:val="24"/>
              </w:rPr>
              <w:t>当前主导产业</w:t>
            </w:r>
          </w:p>
        </w:tc>
        <w:tc>
          <w:tcPr>
            <w:tcW w:w="3969" w:type="dxa"/>
            <w:vMerge w:val="restart"/>
            <w:vAlign w:val="center"/>
          </w:tcPr>
          <w:p>
            <w:pPr>
              <w:spacing w:line="240" w:lineRule="atLeast"/>
              <w:ind w:firstLine="0" w:firstLineChars="0"/>
              <w:jc w:val="center"/>
              <w:rPr>
                <w:b/>
                <w:sz w:val="24"/>
              </w:rPr>
            </w:pPr>
            <w:r>
              <w:rPr>
                <w:b/>
                <w:sz w:val="24"/>
              </w:rPr>
              <w:t>拟发展产业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381" w:type="dxa"/>
            <w:vMerge w:val="continue"/>
            <w:vAlign w:val="center"/>
          </w:tcPr>
          <w:p>
            <w:pPr>
              <w:spacing w:line="240" w:lineRule="atLeast"/>
              <w:ind w:firstLine="0" w:firstLineChars="0"/>
              <w:jc w:val="center"/>
              <w:rPr>
                <w:b/>
                <w:sz w:val="24"/>
              </w:rPr>
            </w:pPr>
          </w:p>
        </w:tc>
        <w:tc>
          <w:tcPr>
            <w:tcW w:w="2410" w:type="dxa"/>
            <w:vMerge w:val="continue"/>
            <w:vAlign w:val="center"/>
          </w:tcPr>
          <w:p>
            <w:pPr>
              <w:spacing w:line="240" w:lineRule="atLeast"/>
              <w:ind w:firstLine="0" w:firstLineChars="0"/>
              <w:jc w:val="center"/>
              <w:rPr>
                <w:b/>
                <w:sz w:val="24"/>
              </w:rPr>
            </w:pPr>
          </w:p>
        </w:tc>
        <w:tc>
          <w:tcPr>
            <w:tcW w:w="3969" w:type="dxa"/>
            <w:vMerge w:val="continue"/>
            <w:vAlign w:val="top"/>
          </w:tcPr>
          <w:p>
            <w:pPr>
              <w:spacing w:line="240" w:lineRule="atLeast"/>
              <w:ind w:firstLine="0" w:firstLineChars="0"/>
              <w:jc w:val="center"/>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jc w:val="center"/>
        </w:trPr>
        <w:tc>
          <w:tcPr>
            <w:tcW w:w="2381" w:type="dxa"/>
            <w:vAlign w:val="center"/>
          </w:tcPr>
          <w:p>
            <w:pPr>
              <w:spacing w:line="240" w:lineRule="atLeast"/>
              <w:ind w:firstLine="0" w:firstLineChars="0"/>
              <w:jc w:val="center"/>
              <w:rPr>
                <w:bCs/>
                <w:sz w:val="24"/>
              </w:rPr>
            </w:pPr>
            <w:r>
              <w:rPr>
                <w:bCs/>
                <w:sz w:val="24"/>
              </w:rPr>
              <w:t>钱江经济开发区</w:t>
            </w:r>
          </w:p>
        </w:tc>
        <w:tc>
          <w:tcPr>
            <w:tcW w:w="2410" w:type="dxa"/>
            <w:vAlign w:val="center"/>
          </w:tcPr>
          <w:p>
            <w:pPr>
              <w:spacing w:line="240" w:lineRule="atLeast"/>
              <w:ind w:firstLine="0" w:firstLineChars="0"/>
              <w:jc w:val="center"/>
              <w:rPr>
                <w:bCs/>
                <w:sz w:val="24"/>
              </w:rPr>
            </w:pPr>
            <w:r>
              <w:rPr>
                <w:bCs/>
                <w:sz w:val="24"/>
              </w:rPr>
              <w:t>高端装备</w:t>
            </w:r>
          </w:p>
        </w:tc>
        <w:tc>
          <w:tcPr>
            <w:tcW w:w="3969" w:type="dxa"/>
            <w:vAlign w:val="center"/>
          </w:tcPr>
          <w:p>
            <w:pPr>
              <w:spacing w:line="240" w:lineRule="exact"/>
              <w:ind w:firstLine="0" w:firstLineChars="0"/>
              <w:jc w:val="center"/>
              <w:rPr>
                <w:bCs/>
                <w:sz w:val="24"/>
              </w:rPr>
            </w:pPr>
            <w:r>
              <w:rPr>
                <w:bCs/>
                <w:sz w:val="24"/>
              </w:rPr>
              <w:t>智能装备、集成电路与智能硬件、新能源、新材料、生物医药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2381" w:type="dxa"/>
            <w:vAlign w:val="center"/>
          </w:tcPr>
          <w:p>
            <w:pPr>
              <w:spacing w:line="240" w:lineRule="atLeast"/>
              <w:ind w:firstLine="0" w:firstLineChars="0"/>
              <w:jc w:val="center"/>
              <w:rPr>
                <w:bCs/>
                <w:sz w:val="24"/>
              </w:rPr>
            </w:pPr>
            <w:r>
              <w:rPr>
                <w:bCs/>
                <w:sz w:val="24"/>
              </w:rPr>
              <w:t>仁和大运河工业园</w:t>
            </w:r>
          </w:p>
        </w:tc>
        <w:tc>
          <w:tcPr>
            <w:tcW w:w="2410" w:type="dxa"/>
            <w:vAlign w:val="center"/>
          </w:tcPr>
          <w:p>
            <w:pPr>
              <w:spacing w:line="240" w:lineRule="atLeast"/>
              <w:ind w:firstLine="0" w:firstLineChars="0"/>
              <w:jc w:val="center"/>
              <w:rPr>
                <w:bCs/>
                <w:sz w:val="24"/>
              </w:rPr>
            </w:pPr>
            <w:r>
              <w:rPr>
                <w:bCs/>
                <w:sz w:val="24"/>
              </w:rPr>
              <w:t>服装、装备制造</w:t>
            </w:r>
          </w:p>
        </w:tc>
        <w:tc>
          <w:tcPr>
            <w:tcW w:w="3969" w:type="dxa"/>
            <w:vAlign w:val="center"/>
          </w:tcPr>
          <w:p>
            <w:pPr>
              <w:spacing w:line="240" w:lineRule="atLeast"/>
              <w:ind w:firstLine="0" w:firstLineChars="0"/>
              <w:jc w:val="center"/>
              <w:rPr>
                <w:bCs/>
                <w:sz w:val="24"/>
              </w:rPr>
            </w:pPr>
            <w:r>
              <w:rPr>
                <w:bCs/>
                <w:sz w:val="24"/>
              </w:rPr>
              <w:t>智能装备</w:t>
            </w:r>
          </w:p>
        </w:tc>
      </w:tr>
    </w:tbl>
    <w:p>
      <w:pPr>
        <w:ind w:firstLine="643"/>
        <w:outlineLvl w:val="2"/>
        <w:rPr>
          <w:b/>
          <w:bCs/>
          <w:szCs w:val="32"/>
        </w:rPr>
      </w:pPr>
      <w:r>
        <w:rPr>
          <w:b/>
          <w:bCs/>
          <w:szCs w:val="32"/>
        </w:rPr>
        <w:t>2．未来科技城：创新核</w:t>
      </w:r>
    </w:p>
    <w:p>
      <w:pPr>
        <w:ind w:firstLine="640"/>
        <w:rPr>
          <w:color w:val="000000"/>
          <w:szCs w:val="32"/>
        </w:rPr>
      </w:pPr>
      <w:r>
        <w:rPr>
          <w:szCs w:val="32"/>
        </w:rPr>
        <w:t>将未来科技城打造成为城西科创大走廊的核心引领区、制造业创新策源地和总部基地，加快高端创新资源集聚，推进高能级创新平台建设，</w:t>
      </w:r>
      <w:r>
        <w:rPr>
          <w:bCs/>
          <w:snapToGrid w:val="0"/>
          <w:kern w:val="44"/>
          <w:szCs w:val="32"/>
        </w:rPr>
        <w:t>加快</w:t>
      </w:r>
      <w:r>
        <w:rPr>
          <w:szCs w:val="32"/>
        </w:rPr>
        <w:t>人工智能、集成电路等</w:t>
      </w:r>
      <w:r>
        <w:rPr>
          <w:bCs/>
          <w:snapToGrid w:val="0"/>
          <w:kern w:val="44"/>
          <w:szCs w:val="32"/>
        </w:rPr>
        <w:t>数字科技创新突破及产业化，</w:t>
      </w:r>
      <w:r>
        <w:rPr>
          <w:szCs w:val="32"/>
        </w:rPr>
        <w:t>引领发展生物医药、新材料研发、智能硬件等</w:t>
      </w:r>
      <w:r>
        <w:rPr>
          <w:bCs/>
          <w:snapToGrid w:val="0"/>
          <w:kern w:val="44"/>
          <w:szCs w:val="32"/>
        </w:rPr>
        <w:t>，发挥未来科技城核心区对周边产业的辐射带动作用，</w:t>
      </w:r>
      <w:r>
        <w:rPr>
          <w:rFonts w:hint="eastAsia"/>
          <w:bCs/>
          <w:snapToGrid w:val="0"/>
          <w:kern w:val="44"/>
          <w:szCs w:val="32"/>
        </w:rPr>
        <w:t>推进杭州云城建设，</w:t>
      </w:r>
      <w:r>
        <w:rPr>
          <w:bCs/>
          <w:snapToGrid w:val="0"/>
          <w:kern w:val="44"/>
          <w:szCs w:val="32"/>
        </w:rPr>
        <w:t>加快整合提升闲林、中泰、义桥、凤凰、沈家店等城西片街道工业园区。到2025年，</w:t>
      </w:r>
      <w:r>
        <w:rPr>
          <w:color w:val="000000"/>
          <w:szCs w:val="32"/>
        </w:rPr>
        <w:t>实现数字经济</w:t>
      </w:r>
      <w:r>
        <w:rPr>
          <w:rFonts w:hint="eastAsia"/>
          <w:color w:val="000000"/>
          <w:szCs w:val="32"/>
        </w:rPr>
        <w:t>核心产业</w:t>
      </w:r>
      <w:r>
        <w:rPr>
          <w:color w:val="000000"/>
          <w:szCs w:val="32"/>
        </w:rPr>
        <w:t>增加值2200亿元。</w:t>
      </w:r>
    </w:p>
    <w:p>
      <w:pPr>
        <w:pStyle w:val="7"/>
        <w:ind w:firstLine="560"/>
        <w:jc w:val="center"/>
        <w:rPr>
          <w:rFonts w:eastAsia="黑体" w:cs="Times New Roman"/>
          <w:sz w:val="28"/>
        </w:rPr>
      </w:pPr>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4</w:t>
      </w:r>
      <w:r>
        <w:rPr>
          <w:rFonts w:eastAsia="黑体" w:cs="Times New Roman"/>
          <w:sz w:val="28"/>
        </w:rPr>
        <w:fldChar w:fldCharType="end"/>
      </w:r>
      <w:r>
        <w:rPr>
          <w:rFonts w:eastAsia="黑体" w:cs="Times New Roman"/>
          <w:sz w:val="28"/>
        </w:rPr>
        <w:t xml:space="preserve"> 未来科技城片区重点产业平台发展功能定位</w:t>
      </w:r>
    </w:p>
    <w:tbl>
      <w:tblPr>
        <w:tblStyle w:val="36"/>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949"/>
        <w:gridCol w:w="3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exact"/>
          <w:jc w:val="center"/>
        </w:trPr>
        <w:tc>
          <w:tcPr>
            <w:tcW w:w="2381" w:type="dxa"/>
            <w:vMerge w:val="restart"/>
            <w:vAlign w:val="center"/>
          </w:tcPr>
          <w:p>
            <w:pPr>
              <w:spacing w:line="240" w:lineRule="atLeast"/>
              <w:ind w:firstLine="0" w:firstLineChars="0"/>
              <w:jc w:val="center"/>
              <w:rPr>
                <w:b/>
                <w:sz w:val="24"/>
              </w:rPr>
            </w:pPr>
            <w:r>
              <w:rPr>
                <w:b/>
                <w:sz w:val="24"/>
              </w:rPr>
              <w:t>产业园区名称</w:t>
            </w:r>
          </w:p>
        </w:tc>
        <w:tc>
          <w:tcPr>
            <w:tcW w:w="2949" w:type="dxa"/>
            <w:vMerge w:val="restart"/>
            <w:vAlign w:val="center"/>
          </w:tcPr>
          <w:p>
            <w:pPr>
              <w:spacing w:line="240" w:lineRule="atLeast"/>
              <w:ind w:firstLine="0" w:firstLineChars="0"/>
              <w:jc w:val="center"/>
              <w:rPr>
                <w:b/>
                <w:sz w:val="24"/>
              </w:rPr>
            </w:pPr>
            <w:r>
              <w:rPr>
                <w:b/>
                <w:sz w:val="24"/>
              </w:rPr>
              <w:t>当前主导产业</w:t>
            </w:r>
          </w:p>
        </w:tc>
        <w:tc>
          <w:tcPr>
            <w:tcW w:w="3430" w:type="dxa"/>
            <w:vMerge w:val="restart"/>
            <w:vAlign w:val="center"/>
          </w:tcPr>
          <w:p>
            <w:pPr>
              <w:spacing w:line="240" w:lineRule="atLeast"/>
              <w:ind w:firstLine="0" w:firstLineChars="0"/>
              <w:jc w:val="center"/>
              <w:rPr>
                <w:b/>
                <w:sz w:val="24"/>
              </w:rPr>
            </w:pPr>
            <w:r>
              <w:rPr>
                <w:b/>
                <w:sz w:val="24"/>
              </w:rPr>
              <w:t>拟发展产业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381" w:type="dxa"/>
            <w:vMerge w:val="continue"/>
            <w:vAlign w:val="center"/>
          </w:tcPr>
          <w:p>
            <w:pPr>
              <w:spacing w:line="240" w:lineRule="atLeast"/>
              <w:ind w:firstLine="0" w:firstLineChars="0"/>
              <w:jc w:val="center"/>
              <w:rPr>
                <w:b/>
                <w:sz w:val="24"/>
              </w:rPr>
            </w:pPr>
          </w:p>
        </w:tc>
        <w:tc>
          <w:tcPr>
            <w:tcW w:w="2949" w:type="dxa"/>
            <w:vMerge w:val="continue"/>
            <w:vAlign w:val="center"/>
          </w:tcPr>
          <w:p>
            <w:pPr>
              <w:spacing w:line="240" w:lineRule="atLeast"/>
              <w:ind w:firstLine="0" w:firstLineChars="0"/>
              <w:jc w:val="center"/>
              <w:rPr>
                <w:b/>
                <w:sz w:val="24"/>
              </w:rPr>
            </w:pPr>
          </w:p>
        </w:tc>
        <w:tc>
          <w:tcPr>
            <w:tcW w:w="3430" w:type="dxa"/>
            <w:vMerge w:val="continue"/>
            <w:vAlign w:val="top"/>
          </w:tcPr>
          <w:p>
            <w:pPr>
              <w:spacing w:line="240" w:lineRule="atLeast"/>
              <w:ind w:firstLine="0" w:firstLineChars="0"/>
              <w:jc w:val="center"/>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2381" w:type="dxa"/>
            <w:vAlign w:val="center"/>
          </w:tcPr>
          <w:p>
            <w:pPr>
              <w:spacing w:line="240" w:lineRule="auto"/>
              <w:ind w:firstLine="0" w:firstLineChars="0"/>
              <w:jc w:val="center"/>
              <w:rPr>
                <w:bCs/>
                <w:sz w:val="24"/>
              </w:rPr>
            </w:pPr>
            <w:r>
              <w:rPr>
                <w:bCs/>
                <w:sz w:val="24"/>
              </w:rPr>
              <w:t>未来科技城核心区</w:t>
            </w:r>
          </w:p>
        </w:tc>
        <w:tc>
          <w:tcPr>
            <w:tcW w:w="2949" w:type="dxa"/>
            <w:vAlign w:val="center"/>
          </w:tcPr>
          <w:p>
            <w:pPr>
              <w:spacing w:line="240" w:lineRule="atLeast"/>
              <w:ind w:firstLine="0" w:firstLineChars="0"/>
              <w:jc w:val="center"/>
              <w:rPr>
                <w:bCs/>
                <w:sz w:val="24"/>
              </w:rPr>
            </w:pPr>
            <w:r>
              <w:rPr>
                <w:bCs/>
                <w:sz w:val="24"/>
              </w:rPr>
              <w:t>电子商务、新一代信息技术、生物医药研发</w:t>
            </w:r>
          </w:p>
        </w:tc>
        <w:tc>
          <w:tcPr>
            <w:tcW w:w="3430" w:type="dxa"/>
            <w:vAlign w:val="center"/>
          </w:tcPr>
          <w:p>
            <w:pPr>
              <w:spacing w:line="240" w:lineRule="atLeast"/>
              <w:ind w:firstLine="0" w:firstLineChars="0"/>
              <w:jc w:val="center"/>
              <w:rPr>
                <w:bCs/>
                <w:sz w:val="24"/>
              </w:rPr>
            </w:pPr>
            <w:r>
              <w:rPr>
                <w:bCs/>
                <w:sz w:val="24"/>
              </w:rPr>
              <w:t>新一代信息技术、生命健康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2381" w:type="dxa"/>
            <w:vAlign w:val="center"/>
          </w:tcPr>
          <w:p>
            <w:pPr>
              <w:spacing w:line="240" w:lineRule="auto"/>
              <w:ind w:firstLine="0" w:firstLineChars="0"/>
              <w:jc w:val="center"/>
              <w:rPr>
                <w:bCs/>
                <w:sz w:val="24"/>
              </w:rPr>
            </w:pPr>
            <w:r>
              <w:rPr>
                <w:rFonts w:hint="eastAsia"/>
                <w:bCs/>
                <w:sz w:val="24"/>
              </w:rPr>
              <w:t>杭州云城</w:t>
            </w:r>
          </w:p>
        </w:tc>
        <w:tc>
          <w:tcPr>
            <w:tcW w:w="2949" w:type="dxa"/>
            <w:vAlign w:val="center"/>
          </w:tcPr>
          <w:p>
            <w:pPr>
              <w:spacing w:line="240" w:lineRule="atLeast"/>
              <w:ind w:firstLine="0" w:firstLineChars="0"/>
              <w:jc w:val="center"/>
              <w:rPr>
                <w:b/>
                <w:sz w:val="24"/>
              </w:rPr>
            </w:pPr>
            <w:r>
              <w:rPr>
                <w:rFonts w:hint="eastAsia"/>
                <w:b/>
                <w:sz w:val="24"/>
              </w:rPr>
              <w:t>--</w:t>
            </w:r>
          </w:p>
        </w:tc>
        <w:tc>
          <w:tcPr>
            <w:tcW w:w="3430" w:type="dxa"/>
            <w:vAlign w:val="center"/>
          </w:tcPr>
          <w:p>
            <w:pPr>
              <w:spacing w:line="240" w:lineRule="atLeast"/>
              <w:ind w:firstLine="0" w:firstLineChars="0"/>
              <w:jc w:val="center"/>
              <w:rPr>
                <w:bCs/>
                <w:sz w:val="24"/>
              </w:rPr>
            </w:pPr>
            <w:r>
              <w:rPr>
                <w:rFonts w:hint="eastAsia"/>
                <w:bCs/>
                <w:sz w:val="24"/>
              </w:rPr>
              <w:t>云计算、人工智能、总部经济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2381" w:type="dxa"/>
            <w:vAlign w:val="center"/>
          </w:tcPr>
          <w:p>
            <w:pPr>
              <w:spacing w:line="240" w:lineRule="auto"/>
              <w:ind w:firstLine="0" w:firstLineChars="0"/>
              <w:jc w:val="center"/>
              <w:rPr>
                <w:bCs/>
                <w:sz w:val="24"/>
              </w:rPr>
            </w:pPr>
            <w:r>
              <w:rPr>
                <w:bCs/>
                <w:sz w:val="24"/>
              </w:rPr>
              <w:t>中泰工业园</w:t>
            </w:r>
          </w:p>
        </w:tc>
        <w:tc>
          <w:tcPr>
            <w:tcW w:w="2949" w:type="dxa"/>
            <w:vAlign w:val="center"/>
          </w:tcPr>
          <w:p>
            <w:pPr>
              <w:spacing w:line="240" w:lineRule="atLeast"/>
              <w:ind w:firstLine="0" w:firstLineChars="0"/>
              <w:jc w:val="center"/>
              <w:rPr>
                <w:bCs/>
                <w:sz w:val="24"/>
              </w:rPr>
            </w:pPr>
            <w:r>
              <w:rPr>
                <w:bCs/>
                <w:sz w:val="24"/>
              </w:rPr>
              <w:t>生物医药、通用设备制造</w:t>
            </w:r>
          </w:p>
        </w:tc>
        <w:tc>
          <w:tcPr>
            <w:tcW w:w="3430" w:type="dxa"/>
            <w:vAlign w:val="center"/>
          </w:tcPr>
          <w:p>
            <w:pPr>
              <w:spacing w:line="240" w:lineRule="atLeast"/>
              <w:ind w:firstLine="0" w:firstLineChars="0"/>
              <w:jc w:val="center"/>
              <w:rPr>
                <w:bCs/>
                <w:sz w:val="24"/>
              </w:rPr>
            </w:pPr>
            <w:r>
              <w:rPr>
                <w:bCs/>
                <w:sz w:val="24"/>
              </w:rPr>
              <w:t>高端医疗器械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uto"/>
              <w:ind w:firstLine="0" w:firstLineChars="0"/>
              <w:jc w:val="center"/>
              <w:rPr>
                <w:bCs/>
                <w:sz w:val="24"/>
              </w:rPr>
            </w:pPr>
            <w:r>
              <w:rPr>
                <w:bCs/>
                <w:sz w:val="24"/>
              </w:rPr>
              <w:t>凤凰工业园</w:t>
            </w:r>
          </w:p>
        </w:tc>
        <w:tc>
          <w:tcPr>
            <w:tcW w:w="2949" w:type="dxa"/>
            <w:vAlign w:val="center"/>
          </w:tcPr>
          <w:p>
            <w:pPr>
              <w:spacing w:line="240" w:lineRule="atLeast"/>
              <w:ind w:firstLine="0" w:firstLineChars="0"/>
              <w:jc w:val="center"/>
              <w:rPr>
                <w:bCs/>
                <w:sz w:val="24"/>
              </w:rPr>
            </w:pPr>
            <w:r>
              <w:rPr>
                <w:bCs/>
                <w:sz w:val="24"/>
              </w:rPr>
              <w:t>装备制造、汽车零部件</w:t>
            </w:r>
          </w:p>
        </w:tc>
        <w:tc>
          <w:tcPr>
            <w:tcW w:w="3430" w:type="dxa"/>
            <w:vAlign w:val="center"/>
          </w:tcPr>
          <w:p>
            <w:pPr>
              <w:spacing w:line="240" w:lineRule="atLeast"/>
              <w:ind w:firstLine="0" w:firstLineChars="0"/>
              <w:jc w:val="center"/>
              <w:rPr>
                <w:bCs/>
                <w:sz w:val="24"/>
              </w:rPr>
            </w:pPr>
            <w:r>
              <w:rPr>
                <w:bCs/>
                <w:sz w:val="24"/>
              </w:rPr>
              <w:t>人工智能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uto"/>
              <w:ind w:firstLine="0" w:firstLineChars="0"/>
              <w:jc w:val="center"/>
              <w:rPr>
                <w:bCs/>
                <w:sz w:val="24"/>
              </w:rPr>
            </w:pPr>
            <w:r>
              <w:rPr>
                <w:bCs/>
                <w:sz w:val="24"/>
              </w:rPr>
              <w:t>沈家店工业园</w:t>
            </w:r>
          </w:p>
        </w:tc>
        <w:tc>
          <w:tcPr>
            <w:tcW w:w="2949" w:type="dxa"/>
            <w:vAlign w:val="center"/>
          </w:tcPr>
          <w:p>
            <w:pPr>
              <w:spacing w:line="240" w:lineRule="atLeast"/>
              <w:ind w:firstLine="0" w:firstLineChars="0"/>
              <w:jc w:val="center"/>
              <w:rPr>
                <w:bCs/>
                <w:sz w:val="24"/>
              </w:rPr>
            </w:pPr>
            <w:r>
              <w:rPr>
                <w:bCs/>
                <w:sz w:val="24"/>
              </w:rPr>
              <w:t>机械装备</w:t>
            </w:r>
          </w:p>
        </w:tc>
        <w:tc>
          <w:tcPr>
            <w:tcW w:w="3430" w:type="dxa"/>
            <w:vAlign w:val="center"/>
          </w:tcPr>
          <w:p>
            <w:pPr>
              <w:spacing w:line="240" w:lineRule="atLeast"/>
              <w:ind w:firstLine="0" w:firstLineChars="0"/>
              <w:jc w:val="center"/>
              <w:rPr>
                <w:bCs/>
                <w:sz w:val="24"/>
              </w:rPr>
            </w:pPr>
            <w:r>
              <w:rPr>
                <w:bCs/>
                <w:sz w:val="24"/>
              </w:rPr>
              <w:t>智能硬件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uto"/>
              <w:ind w:firstLine="0" w:firstLineChars="0"/>
              <w:jc w:val="center"/>
              <w:rPr>
                <w:bCs/>
                <w:sz w:val="24"/>
              </w:rPr>
            </w:pPr>
            <w:r>
              <w:rPr>
                <w:bCs/>
                <w:sz w:val="24"/>
              </w:rPr>
              <w:t>闲林工业园</w:t>
            </w:r>
          </w:p>
        </w:tc>
        <w:tc>
          <w:tcPr>
            <w:tcW w:w="2949" w:type="dxa"/>
            <w:vAlign w:val="center"/>
          </w:tcPr>
          <w:p>
            <w:pPr>
              <w:spacing w:line="240" w:lineRule="atLeast"/>
              <w:ind w:firstLine="0" w:firstLineChars="0"/>
              <w:jc w:val="center"/>
              <w:rPr>
                <w:bCs/>
                <w:sz w:val="24"/>
              </w:rPr>
            </w:pPr>
            <w:r>
              <w:rPr>
                <w:bCs/>
                <w:sz w:val="24"/>
              </w:rPr>
              <w:t>建材、五金加工</w:t>
            </w:r>
          </w:p>
        </w:tc>
        <w:tc>
          <w:tcPr>
            <w:tcW w:w="3430" w:type="dxa"/>
            <w:vAlign w:val="center"/>
          </w:tcPr>
          <w:p>
            <w:pPr>
              <w:spacing w:line="240" w:lineRule="atLeast"/>
              <w:ind w:firstLine="0" w:firstLineChars="0"/>
              <w:jc w:val="center"/>
              <w:rPr>
                <w:bCs/>
                <w:sz w:val="24"/>
              </w:rPr>
            </w:pPr>
            <w:r>
              <w:rPr>
                <w:bCs/>
                <w:sz w:val="24"/>
              </w:rPr>
              <w:t>智能硬件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uto"/>
              <w:ind w:firstLine="0" w:firstLineChars="0"/>
              <w:jc w:val="center"/>
              <w:rPr>
                <w:bCs/>
                <w:sz w:val="24"/>
              </w:rPr>
            </w:pPr>
            <w:r>
              <w:rPr>
                <w:bCs/>
                <w:sz w:val="24"/>
              </w:rPr>
              <w:t>义桥工业园</w:t>
            </w:r>
          </w:p>
        </w:tc>
        <w:tc>
          <w:tcPr>
            <w:tcW w:w="2949" w:type="dxa"/>
            <w:vAlign w:val="center"/>
          </w:tcPr>
          <w:p>
            <w:pPr>
              <w:spacing w:line="240" w:lineRule="atLeast"/>
              <w:ind w:firstLine="0" w:firstLineChars="0"/>
              <w:jc w:val="center"/>
              <w:rPr>
                <w:bCs/>
                <w:sz w:val="24"/>
              </w:rPr>
            </w:pPr>
            <w:r>
              <w:rPr>
                <w:bCs/>
                <w:sz w:val="24"/>
              </w:rPr>
              <w:t>金属和非金属制品、家具</w:t>
            </w:r>
          </w:p>
        </w:tc>
        <w:tc>
          <w:tcPr>
            <w:tcW w:w="3430" w:type="dxa"/>
            <w:vAlign w:val="center"/>
          </w:tcPr>
          <w:p>
            <w:pPr>
              <w:spacing w:line="240" w:lineRule="atLeast"/>
              <w:ind w:firstLine="0" w:firstLineChars="0"/>
              <w:jc w:val="center"/>
              <w:rPr>
                <w:bCs/>
                <w:sz w:val="24"/>
              </w:rPr>
            </w:pPr>
            <w:r>
              <w:rPr>
                <w:bCs/>
                <w:sz w:val="24"/>
              </w:rPr>
              <w:t>高端医疗器械、高端装备</w:t>
            </w:r>
          </w:p>
        </w:tc>
      </w:tr>
    </w:tbl>
    <w:p>
      <w:pPr>
        <w:ind w:firstLine="643"/>
        <w:outlineLvl w:val="2"/>
        <w:rPr>
          <w:b/>
          <w:bCs/>
          <w:szCs w:val="32"/>
        </w:rPr>
      </w:pPr>
      <w:r>
        <w:rPr>
          <w:b/>
          <w:bCs/>
          <w:szCs w:val="32"/>
        </w:rPr>
        <w:t>3．</w:t>
      </w:r>
      <w:r>
        <w:rPr>
          <w:rFonts w:hint="eastAsia"/>
          <w:b/>
          <w:bCs/>
          <w:szCs w:val="32"/>
        </w:rPr>
        <w:t>良渚新城</w:t>
      </w:r>
      <w:r>
        <w:rPr>
          <w:b/>
          <w:bCs/>
          <w:szCs w:val="32"/>
        </w:rPr>
        <w:t>：</w:t>
      </w:r>
      <w:r>
        <w:rPr>
          <w:rFonts w:hint="eastAsia"/>
          <w:b/>
          <w:bCs/>
          <w:szCs w:val="32"/>
        </w:rPr>
        <w:t>加速核</w:t>
      </w:r>
    </w:p>
    <w:p>
      <w:pPr>
        <w:ind w:firstLine="640"/>
        <w:rPr>
          <w:szCs w:val="32"/>
        </w:rPr>
      </w:pPr>
      <w:r>
        <w:rPr>
          <w:rFonts w:hint="eastAsia"/>
          <w:color w:val="000000"/>
        </w:rPr>
        <w:t>良渚新城是推动</w:t>
      </w:r>
      <w:r>
        <w:rPr>
          <w:rFonts w:hint="eastAsia"/>
        </w:rPr>
        <w:t>城西科创大走廊、城东智造大走廊“两廊”联动、未来科技城和钱江经济开发区产业协同的关键“纽带”，</w:t>
      </w:r>
      <w:r>
        <w:rPr>
          <w:szCs w:val="32"/>
        </w:rPr>
        <w:t>以推进五千年良渚文化与实体经济融合发展为目标，</w:t>
      </w:r>
      <w:r>
        <w:rPr>
          <w:color w:val="000000"/>
        </w:rPr>
        <w:t>创新发展数字文化、生命健康、总部经济“2+1”核心产业</w:t>
      </w:r>
      <w:r>
        <w:rPr>
          <w:rFonts w:hint="eastAsia"/>
          <w:color w:val="000000"/>
        </w:rPr>
        <w:t>。</w:t>
      </w:r>
      <w:r>
        <w:rPr>
          <w:rFonts w:hint="eastAsia"/>
          <w:szCs w:val="32"/>
        </w:rPr>
        <w:t>依托</w:t>
      </w:r>
      <w:r>
        <w:rPr>
          <w:szCs w:val="32"/>
        </w:rPr>
        <w:t>中国美院良渚校区优势，</w:t>
      </w:r>
      <w:r>
        <w:rPr>
          <w:rFonts w:hint="eastAsia"/>
          <w:szCs w:val="32"/>
        </w:rPr>
        <w:t>依托</w:t>
      </w:r>
      <w:r>
        <w:rPr>
          <w:szCs w:val="32"/>
        </w:rPr>
        <w:t>梦栖小镇</w:t>
      </w:r>
      <w:r>
        <w:rPr>
          <w:rFonts w:hint="eastAsia"/>
          <w:szCs w:val="32"/>
        </w:rPr>
        <w:t>等</w:t>
      </w:r>
      <w:r>
        <w:rPr>
          <w:szCs w:val="32"/>
        </w:rPr>
        <w:t>，</w:t>
      </w:r>
      <w:r>
        <w:rPr>
          <w:color w:val="000000"/>
        </w:rPr>
        <w:t>重点发展高端装备工业设计、智能设计、商业设计等</w:t>
      </w:r>
      <w:r>
        <w:rPr>
          <w:rFonts w:hint="eastAsia"/>
          <w:color w:val="000000"/>
        </w:rPr>
        <w:t>。</w:t>
      </w:r>
      <w:r>
        <w:rPr>
          <w:color w:val="000000"/>
        </w:rPr>
        <w:t>依托良渚生命科技小镇</w:t>
      </w:r>
      <w:r>
        <w:rPr>
          <w:rFonts w:hint="eastAsia"/>
          <w:color w:val="000000"/>
        </w:rPr>
        <w:t>等</w:t>
      </w:r>
      <w:r>
        <w:rPr>
          <w:color w:val="000000"/>
        </w:rPr>
        <w:t>，积极发展高端医疗器械</w:t>
      </w:r>
      <w:r>
        <w:rPr>
          <w:rFonts w:hint="eastAsia"/>
          <w:color w:val="000000"/>
        </w:rPr>
        <w:t>、</w:t>
      </w:r>
      <w:r>
        <w:rPr>
          <w:color w:val="000000"/>
        </w:rPr>
        <w:t>新药研发</w:t>
      </w:r>
      <w:r>
        <w:rPr>
          <w:rFonts w:hint="eastAsia"/>
          <w:color w:val="000000"/>
        </w:rPr>
        <w:t>、</w:t>
      </w:r>
      <w:r>
        <w:rPr>
          <w:color w:val="000000"/>
        </w:rPr>
        <w:t>生命健康数据服务等。</w:t>
      </w:r>
      <w:r>
        <w:rPr>
          <w:szCs w:val="32"/>
        </w:rPr>
        <w:t>加快与云城一体化发展，融入未来科技城，协同发展新一代信息技术、现代物流、金融服务等生产性服务业，强化对高端精密制造业支撑作用。加快</w:t>
      </w:r>
      <w:r>
        <w:rPr>
          <w:rFonts w:hint="eastAsia"/>
          <w:szCs w:val="32"/>
        </w:rPr>
        <w:t>打造</w:t>
      </w:r>
      <w:r>
        <w:rPr>
          <w:szCs w:val="32"/>
        </w:rPr>
        <w:t>瓶窑新城</w:t>
      </w:r>
      <w:r>
        <w:rPr>
          <w:rFonts w:hint="eastAsia"/>
          <w:szCs w:val="32"/>
        </w:rPr>
        <w:t>，</w:t>
      </w:r>
      <w:r>
        <w:rPr>
          <w:szCs w:val="32"/>
        </w:rPr>
        <w:t>推进凤都工业园二期、中法航空大学</w:t>
      </w:r>
      <w:r>
        <w:rPr>
          <w:rFonts w:hint="eastAsia"/>
          <w:szCs w:val="32"/>
        </w:rPr>
        <w:t>、</w:t>
      </w:r>
      <w:r>
        <w:rPr>
          <w:szCs w:val="32"/>
        </w:rPr>
        <w:t>航空航天科技小镇等建设</w:t>
      </w:r>
      <w:r>
        <w:rPr>
          <w:rFonts w:hint="eastAsia"/>
          <w:szCs w:val="32"/>
        </w:rPr>
        <w:t>，</w:t>
      </w:r>
      <w:r>
        <w:rPr>
          <w:szCs w:val="32"/>
        </w:rPr>
        <w:t>重点</w:t>
      </w:r>
      <w:r>
        <w:rPr>
          <w:rFonts w:hint="eastAsia"/>
          <w:szCs w:val="32"/>
        </w:rPr>
        <w:t>开展</w:t>
      </w:r>
      <w:r>
        <w:rPr>
          <w:szCs w:val="32"/>
        </w:rPr>
        <w:t>航空电子、精密高端装备研发和产业化。到2025年，实现数字文化产业产值50亿元，健康产业主营业务收入突破10亿元</w:t>
      </w:r>
      <w:r>
        <w:rPr>
          <w:rFonts w:hint="eastAsia"/>
          <w:szCs w:val="32"/>
        </w:rPr>
        <w:t>。</w:t>
      </w:r>
    </w:p>
    <w:p>
      <w:pPr>
        <w:pStyle w:val="7"/>
        <w:ind w:firstLine="560"/>
        <w:jc w:val="center"/>
        <w:rPr>
          <w:rFonts w:eastAsia="黑体" w:cs="Times New Roman"/>
          <w:sz w:val="28"/>
        </w:rPr>
      </w:pPr>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5</w:t>
      </w:r>
      <w:r>
        <w:rPr>
          <w:rFonts w:eastAsia="黑体" w:cs="Times New Roman"/>
          <w:sz w:val="28"/>
        </w:rPr>
        <w:fldChar w:fldCharType="end"/>
      </w:r>
      <w:r>
        <w:rPr>
          <w:rFonts w:eastAsia="黑体" w:cs="Times New Roman"/>
          <w:sz w:val="28"/>
        </w:rPr>
        <w:t xml:space="preserve"> </w:t>
      </w:r>
      <w:r>
        <w:rPr>
          <w:rFonts w:hint="eastAsia" w:eastAsia="黑体" w:cs="Times New Roman"/>
          <w:sz w:val="28"/>
        </w:rPr>
        <w:t>良渚新城</w:t>
      </w:r>
      <w:r>
        <w:rPr>
          <w:rFonts w:eastAsia="黑体" w:cs="Times New Roman"/>
          <w:sz w:val="28"/>
        </w:rPr>
        <w:t>片区重点产业平台发展功能定位</w:t>
      </w:r>
    </w:p>
    <w:tbl>
      <w:tblPr>
        <w:tblStyle w:val="36"/>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410"/>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exact"/>
          <w:jc w:val="center"/>
        </w:trPr>
        <w:tc>
          <w:tcPr>
            <w:tcW w:w="2381" w:type="dxa"/>
            <w:vMerge w:val="restart"/>
            <w:vAlign w:val="center"/>
          </w:tcPr>
          <w:p>
            <w:pPr>
              <w:spacing w:line="240" w:lineRule="atLeast"/>
              <w:ind w:firstLine="0" w:firstLineChars="0"/>
              <w:jc w:val="center"/>
              <w:rPr>
                <w:b/>
                <w:sz w:val="24"/>
              </w:rPr>
            </w:pPr>
            <w:r>
              <w:rPr>
                <w:b/>
                <w:sz w:val="24"/>
              </w:rPr>
              <w:t>产业园区名称</w:t>
            </w:r>
          </w:p>
        </w:tc>
        <w:tc>
          <w:tcPr>
            <w:tcW w:w="2410" w:type="dxa"/>
            <w:vMerge w:val="restart"/>
            <w:vAlign w:val="center"/>
          </w:tcPr>
          <w:p>
            <w:pPr>
              <w:spacing w:line="240" w:lineRule="atLeast"/>
              <w:ind w:firstLine="0" w:firstLineChars="0"/>
              <w:jc w:val="center"/>
              <w:rPr>
                <w:b/>
                <w:sz w:val="24"/>
              </w:rPr>
            </w:pPr>
            <w:r>
              <w:rPr>
                <w:b/>
                <w:sz w:val="24"/>
              </w:rPr>
              <w:t>当前主导产业</w:t>
            </w:r>
          </w:p>
        </w:tc>
        <w:tc>
          <w:tcPr>
            <w:tcW w:w="3969" w:type="dxa"/>
            <w:vMerge w:val="restart"/>
            <w:vAlign w:val="center"/>
          </w:tcPr>
          <w:p>
            <w:pPr>
              <w:spacing w:line="240" w:lineRule="atLeast"/>
              <w:ind w:firstLine="0" w:firstLineChars="0"/>
              <w:jc w:val="center"/>
              <w:rPr>
                <w:b/>
                <w:sz w:val="24"/>
              </w:rPr>
            </w:pPr>
            <w:r>
              <w:rPr>
                <w:b/>
                <w:sz w:val="24"/>
              </w:rPr>
              <w:t>拟发展产业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381" w:type="dxa"/>
            <w:vMerge w:val="continue"/>
            <w:vAlign w:val="center"/>
          </w:tcPr>
          <w:p>
            <w:pPr>
              <w:spacing w:line="240" w:lineRule="atLeast"/>
              <w:ind w:firstLine="0" w:firstLineChars="0"/>
              <w:jc w:val="center"/>
              <w:rPr>
                <w:b/>
                <w:sz w:val="24"/>
              </w:rPr>
            </w:pPr>
          </w:p>
        </w:tc>
        <w:tc>
          <w:tcPr>
            <w:tcW w:w="2410" w:type="dxa"/>
            <w:vMerge w:val="continue"/>
            <w:vAlign w:val="center"/>
          </w:tcPr>
          <w:p>
            <w:pPr>
              <w:spacing w:line="240" w:lineRule="atLeast"/>
              <w:ind w:firstLine="0" w:firstLineChars="0"/>
              <w:jc w:val="center"/>
              <w:rPr>
                <w:b/>
                <w:sz w:val="24"/>
              </w:rPr>
            </w:pPr>
          </w:p>
        </w:tc>
        <w:tc>
          <w:tcPr>
            <w:tcW w:w="3969" w:type="dxa"/>
            <w:vMerge w:val="continue"/>
            <w:vAlign w:val="top"/>
          </w:tcPr>
          <w:p>
            <w:pPr>
              <w:spacing w:line="240" w:lineRule="atLeast"/>
              <w:ind w:firstLine="0" w:firstLineChars="0"/>
              <w:jc w:val="center"/>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tLeast"/>
              <w:ind w:firstLine="0" w:firstLineChars="0"/>
              <w:jc w:val="center"/>
              <w:rPr>
                <w:bCs/>
                <w:sz w:val="24"/>
              </w:rPr>
            </w:pPr>
            <w:r>
              <w:rPr>
                <w:rFonts w:hint="eastAsia"/>
                <w:bCs/>
                <w:sz w:val="24"/>
              </w:rPr>
              <w:t>良渚新城核心区</w:t>
            </w:r>
          </w:p>
        </w:tc>
        <w:tc>
          <w:tcPr>
            <w:tcW w:w="2410" w:type="dxa"/>
            <w:vAlign w:val="center"/>
          </w:tcPr>
          <w:p>
            <w:pPr>
              <w:spacing w:line="240" w:lineRule="atLeast"/>
              <w:ind w:firstLine="0" w:firstLineChars="0"/>
              <w:jc w:val="center"/>
              <w:rPr>
                <w:bCs/>
                <w:sz w:val="24"/>
              </w:rPr>
            </w:pPr>
            <w:r>
              <w:rPr>
                <w:rFonts w:hint="eastAsia"/>
                <w:bCs/>
                <w:sz w:val="24"/>
              </w:rPr>
              <w:t>工业设计、文化内容</w:t>
            </w:r>
          </w:p>
        </w:tc>
        <w:tc>
          <w:tcPr>
            <w:tcW w:w="3969" w:type="dxa"/>
            <w:vAlign w:val="center"/>
          </w:tcPr>
          <w:p>
            <w:pPr>
              <w:spacing w:line="240" w:lineRule="atLeast"/>
              <w:ind w:firstLine="0" w:firstLineChars="0"/>
              <w:jc w:val="center"/>
              <w:rPr>
                <w:bCs/>
                <w:sz w:val="24"/>
              </w:rPr>
            </w:pPr>
            <w:r>
              <w:rPr>
                <w:rFonts w:hint="eastAsia"/>
                <w:bCs/>
                <w:sz w:val="24"/>
              </w:rPr>
              <w:t>数字文化、生命健康、总部经济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tLeast"/>
              <w:ind w:firstLine="0" w:firstLineChars="0"/>
              <w:jc w:val="center"/>
              <w:rPr>
                <w:bCs/>
                <w:sz w:val="24"/>
              </w:rPr>
            </w:pPr>
            <w:r>
              <w:rPr>
                <w:rFonts w:hint="eastAsia"/>
                <w:bCs/>
                <w:sz w:val="24"/>
              </w:rPr>
              <w:t>良渚</w:t>
            </w:r>
            <w:r>
              <w:rPr>
                <w:bCs/>
                <w:sz w:val="24"/>
              </w:rPr>
              <w:t>勾庄工业园</w:t>
            </w:r>
          </w:p>
        </w:tc>
        <w:tc>
          <w:tcPr>
            <w:tcW w:w="2410" w:type="dxa"/>
            <w:vAlign w:val="center"/>
          </w:tcPr>
          <w:p>
            <w:pPr>
              <w:spacing w:line="240" w:lineRule="atLeast"/>
              <w:ind w:firstLine="0" w:firstLineChars="0"/>
              <w:jc w:val="center"/>
              <w:rPr>
                <w:bCs/>
                <w:sz w:val="24"/>
              </w:rPr>
            </w:pPr>
            <w:r>
              <w:rPr>
                <w:bCs/>
                <w:sz w:val="24"/>
              </w:rPr>
              <w:t>五金机械、纺织服装</w:t>
            </w:r>
          </w:p>
        </w:tc>
        <w:tc>
          <w:tcPr>
            <w:tcW w:w="3969" w:type="dxa"/>
            <w:vAlign w:val="center"/>
          </w:tcPr>
          <w:p>
            <w:pPr>
              <w:spacing w:line="240" w:lineRule="atLeast"/>
              <w:ind w:firstLine="0" w:firstLineChars="0"/>
              <w:jc w:val="center"/>
              <w:rPr>
                <w:bCs/>
                <w:sz w:val="24"/>
              </w:rPr>
            </w:pPr>
            <w:r>
              <w:rPr>
                <w:bCs/>
                <w:sz w:val="24"/>
              </w:rPr>
              <w:t>智能硬件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tLeast"/>
              <w:ind w:firstLine="0" w:firstLineChars="0"/>
              <w:jc w:val="center"/>
              <w:rPr>
                <w:bCs/>
                <w:sz w:val="24"/>
              </w:rPr>
            </w:pPr>
            <w:r>
              <w:rPr>
                <w:rFonts w:hint="eastAsia"/>
                <w:bCs/>
                <w:sz w:val="24"/>
              </w:rPr>
              <w:t>良渚</w:t>
            </w:r>
            <w:r>
              <w:rPr>
                <w:bCs/>
                <w:sz w:val="24"/>
              </w:rPr>
              <w:t>大陆工业园</w:t>
            </w:r>
          </w:p>
        </w:tc>
        <w:tc>
          <w:tcPr>
            <w:tcW w:w="2410" w:type="dxa"/>
            <w:vAlign w:val="center"/>
          </w:tcPr>
          <w:p>
            <w:pPr>
              <w:spacing w:line="240" w:lineRule="atLeast"/>
              <w:ind w:firstLine="0" w:firstLineChars="0"/>
              <w:jc w:val="center"/>
              <w:rPr>
                <w:bCs/>
                <w:sz w:val="24"/>
              </w:rPr>
            </w:pPr>
            <w:r>
              <w:rPr>
                <w:bCs/>
                <w:sz w:val="24"/>
              </w:rPr>
              <w:t>装备制造、电子产品</w:t>
            </w:r>
          </w:p>
        </w:tc>
        <w:tc>
          <w:tcPr>
            <w:tcW w:w="3969" w:type="dxa"/>
            <w:vAlign w:val="center"/>
          </w:tcPr>
          <w:p>
            <w:pPr>
              <w:spacing w:line="240" w:lineRule="atLeast"/>
              <w:ind w:firstLine="0" w:firstLineChars="0"/>
              <w:jc w:val="center"/>
              <w:rPr>
                <w:bCs/>
                <w:sz w:val="24"/>
              </w:rPr>
            </w:pPr>
            <w:r>
              <w:rPr>
                <w:bCs/>
                <w:sz w:val="24"/>
              </w:rPr>
              <w:t>智能装备、新材料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81" w:type="dxa"/>
            <w:vAlign w:val="center"/>
          </w:tcPr>
          <w:p>
            <w:pPr>
              <w:spacing w:line="240" w:lineRule="atLeast"/>
              <w:ind w:firstLine="0" w:firstLineChars="0"/>
              <w:jc w:val="center"/>
              <w:rPr>
                <w:bCs/>
                <w:sz w:val="24"/>
              </w:rPr>
            </w:pPr>
            <w:r>
              <w:rPr>
                <w:rFonts w:hint="eastAsia"/>
                <w:bCs/>
                <w:sz w:val="24"/>
              </w:rPr>
              <w:t>瓶窑凤都工业园</w:t>
            </w:r>
          </w:p>
        </w:tc>
        <w:tc>
          <w:tcPr>
            <w:tcW w:w="2410" w:type="dxa"/>
            <w:vAlign w:val="center"/>
          </w:tcPr>
          <w:p>
            <w:pPr>
              <w:spacing w:line="240" w:lineRule="atLeast"/>
              <w:ind w:firstLine="0" w:firstLineChars="0"/>
              <w:jc w:val="center"/>
              <w:rPr>
                <w:bCs/>
                <w:sz w:val="24"/>
              </w:rPr>
            </w:pPr>
            <w:r>
              <w:rPr>
                <w:rFonts w:hint="eastAsia"/>
                <w:bCs/>
                <w:sz w:val="24"/>
              </w:rPr>
              <w:t>金属加工、机械制造</w:t>
            </w:r>
          </w:p>
        </w:tc>
        <w:tc>
          <w:tcPr>
            <w:tcW w:w="3969" w:type="dxa"/>
            <w:vAlign w:val="center"/>
          </w:tcPr>
          <w:p>
            <w:pPr>
              <w:spacing w:line="240" w:lineRule="atLeast"/>
              <w:ind w:firstLine="0" w:firstLineChars="0"/>
              <w:jc w:val="center"/>
              <w:rPr>
                <w:bCs/>
                <w:sz w:val="24"/>
              </w:rPr>
            </w:pPr>
            <w:r>
              <w:rPr>
                <w:rFonts w:hint="eastAsia"/>
                <w:bCs/>
                <w:sz w:val="24"/>
              </w:rPr>
              <w:t>航空科技、高端装备制造</w:t>
            </w:r>
          </w:p>
        </w:tc>
      </w:tr>
    </w:tbl>
    <w:p>
      <w:pPr>
        <w:spacing w:line="600" w:lineRule="exact"/>
        <w:ind w:firstLine="640"/>
        <w:outlineLvl w:val="1"/>
        <w:rPr>
          <w:rFonts w:eastAsia="楷体_GB2312"/>
          <w:bCs/>
          <w:szCs w:val="32"/>
        </w:rPr>
      </w:pPr>
      <w:bookmarkStart w:id="56" w:name="_Toc53403243"/>
      <w:bookmarkStart w:id="57" w:name="_Toc50385811"/>
      <w:bookmarkStart w:id="58" w:name="_Toc94109609"/>
      <w:r>
        <w:rPr>
          <w:rFonts w:eastAsia="楷体_GB2312"/>
          <w:bCs/>
          <w:szCs w:val="32"/>
        </w:rPr>
        <w:t>（二）打造产业空间协同发展新亮点</w:t>
      </w:r>
      <w:bookmarkEnd w:id="56"/>
      <w:bookmarkEnd w:id="57"/>
      <w:bookmarkEnd w:id="58"/>
    </w:p>
    <w:p>
      <w:pPr>
        <w:ind w:firstLine="640"/>
        <w:rPr>
          <w:szCs w:val="30"/>
        </w:rPr>
      </w:pPr>
      <w:bookmarkStart w:id="59" w:name="_Hlk79492656"/>
      <w:r>
        <w:t>深入实施大孵化器战略，在</w:t>
      </w:r>
      <w:r>
        <w:rPr>
          <w:rFonts w:hint="eastAsia"/>
        </w:rPr>
        <w:t>三大产业平台</w:t>
      </w:r>
      <w:r>
        <w:t>基础上，加快部署特色化、专业化发展空间亮点，重点完善创新平台基础设施建设和城市配套服务功能，以特色小镇为孵化基地，以特色都市工业园区为加速引擎，</w:t>
      </w:r>
      <w:r>
        <w:rPr>
          <w:szCs w:val="30"/>
        </w:rPr>
        <w:t>结合全域创新空间体系布局，优化产业梯度发展空间。</w:t>
      </w:r>
      <w:bookmarkEnd w:id="59"/>
    </w:p>
    <w:p>
      <w:pPr>
        <w:ind w:firstLine="643"/>
        <w:outlineLvl w:val="2"/>
        <w:rPr>
          <w:b/>
          <w:bCs/>
          <w:szCs w:val="32"/>
        </w:rPr>
      </w:pPr>
      <w:r>
        <w:rPr>
          <w:b/>
          <w:bCs/>
          <w:szCs w:val="32"/>
        </w:rPr>
        <w:t>1．推动镇街平台园区有机更新</w:t>
      </w:r>
    </w:p>
    <w:p>
      <w:pPr>
        <w:ind w:firstLine="640"/>
        <w:rPr>
          <w:szCs w:val="32"/>
        </w:rPr>
      </w:pPr>
      <w:bookmarkStart w:id="60" w:name="_Hlk79492697"/>
      <w:r>
        <w:t>贯彻实施新一轮制造业“腾笼换鸟、凤凰涅</w:t>
      </w:r>
      <w:r>
        <w:rPr>
          <w:rFonts w:eastAsia="仿宋"/>
        </w:rPr>
        <w:t>槃</w:t>
      </w:r>
      <w:r>
        <w:t>”攻坚行动，聚焦淘汰落后、创新强工、招大引强、质量提升，全面梳理工业发展空间，实施“3655梧桐计划”，</w:t>
      </w:r>
      <w:bookmarkStart w:id="61" w:name="_Hlk79492713"/>
      <w:bookmarkEnd w:id="60"/>
      <w:r>
        <w:t>分类分批推进重点工业园区有机更新，</w:t>
      </w:r>
      <w:bookmarkEnd w:id="61"/>
      <w:r>
        <w:t>整治工业低效用地。采取“国企开发+专业运营商”组合，打造新型产业园区，重点面向孵化成功、拟上市企业和新招引重大项目，推动“供地招商”向“供楼招商”转变，采用“先租后售”方式和供楼招商模式，探索“楼均论英雄”，推进土地集约利用。完善工作环境配套，加强企业邻里中心、人才保障用房等供给。着力建设一批专业化小微企业园，完善入园标准，明确1-2个细分重点产业，分类实施小微企业园提升改造，制定分年度推进计划，确保小微企业园亩均质效超全区平均水平。</w:t>
      </w:r>
      <w:r>
        <w:rPr>
          <w:szCs w:val="32"/>
        </w:rPr>
        <w:t>力争到2025年，推动1万亩工业用地有机更新，累计建成小微企业园80个，主导产业集聚度超70%。</w:t>
      </w:r>
    </w:p>
    <w:p>
      <w:pPr>
        <w:ind w:firstLine="643"/>
        <w:outlineLvl w:val="2"/>
        <w:rPr>
          <w:b/>
          <w:bCs/>
          <w:szCs w:val="32"/>
        </w:rPr>
      </w:pPr>
      <w:r>
        <w:rPr>
          <w:b/>
          <w:bCs/>
          <w:szCs w:val="32"/>
        </w:rPr>
        <w:t>2．提升特色小镇赋能水平</w:t>
      </w:r>
    </w:p>
    <w:p>
      <w:pPr>
        <w:ind w:firstLine="640"/>
      </w:pPr>
      <w:r>
        <w:t>以数字产业、生物医药、新材料新装备等重点产业培育为导向，以特色小镇为原点，集聚孵化器、众创空间等，打造产业创新孵化及生产性服务业集聚发展空间。全面实施“翱翔计划·未来之源”行动，加快国家、省双创示范基地建设，扩大创业孵化平台空间体量，提高产业孵化培育专业度、精准度。重点依托梦想小镇、人工智能小镇等，进一步集聚数字产业企业，做大做强余杭人工智能等产业品牌；推进航空科技小镇、中法航空大学建设，推动无人机和航空电子系统设备研发和产业化制造；依托数字·健康小镇、良渚生命科技小镇等，积极承接良渚实验室等高能级平台创新成果产业化，推进智能诊疗设备制造业创新中心、智慧医疗创新中心等建设；依托梦栖小镇，持续扩大世界工业设计大会影响力，集聚设计人才和品牌企业，打造世界工业设计高地。到2025年，力争打造市级</w:t>
      </w:r>
      <w:r>
        <w:rPr>
          <w:szCs w:val="32"/>
        </w:rPr>
        <w:t>“赋能工场”3家以上。</w:t>
      </w:r>
    </w:p>
    <w:p>
      <w:pPr>
        <w:ind w:firstLine="643"/>
        <w:outlineLvl w:val="2"/>
        <w:rPr>
          <w:b/>
          <w:bCs/>
          <w:szCs w:val="32"/>
        </w:rPr>
      </w:pPr>
      <w:r>
        <w:rPr>
          <w:b/>
          <w:bCs/>
          <w:szCs w:val="32"/>
        </w:rPr>
        <w:t>3．推动产业跨区协作</w:t>
      </w:r>
    </w:p>
    <w:p>
      <w:pPr>
        <w:ind w:firstLine="640"/>
        <w:rPr>
          <w:szCs w:val="21"/>
        </w:rPr>
        <w:sectPr>
          <w:pgSz w:w="11906" w:h="16838"/>
          <w:pgMar w:top="1440" w:right="1800" w:bottom="1440" w:left="1800" w:header="851" w:footer="992" w:gutter="0"/>
          <w:pgNumType w:fmt="numberInDash"/>
          <w:cols w:space="720" w:num="1"/>
          <w:docGrid w:type="lines" w:linePitch="435" w:charSpace="0"/>
        </w:sectPr>
      </w:pPr>
      <w:r>
        <w:rPr>
          <w:szCs w:val="21"/>
        </w:rPr>
        <w:t>积极探索推进“飞地”双向合作模式，谋划打造特别合作区，加快推动产业有机更新，以余杭临平战略合作、城西科创大走廊北翼（德清拓展区）建设等为契机，在数字产业项目落地等方面开展深度合作，培育一批以余杭为核心、跨区域协同的产业链。</w:t>
      </w:r>
      <w:r>
        <w:t>持续做好与苍溪、稻城的东西部协作，与长春净月高新开发区的对口合作，与柯城区的山海协作，加强</w:t>
      </w:r>
      <w:r>
        <w:rPr>
          <w:color w:val="000000"/>
        </w:rPr>
        <w:t>产业协同合作、重点平台对接、创新创业共享</w:t>
      </w:r>
      <w:r>
        <w:rPr>
          <w:szCs w:val="21"/>
        </w:rPr>
        <w:t>。依托余杭数字产业优势，支持阿里巴巴、中电海康等有条件企业提升平台经营能力，以聚能工厂模式，打造集设计、研发、制造、品控、销售、物流、客户服务为一体的聚能工厂生态圈，以虚拟产业集群模式打破地理空间限制，拉长产业链、育强产业生态。</w:t>
      </w:r>
    </w:p>
    <w:p>
      <w:pPr>
        <w:spacing w:line="240" w:lineRule="auto"/>
        <w:ind w:firstLine="640"/>
        <w:jc w:val="center"/>
        <w:rPr>
          <w:rFonts w:eastAsia="黑体"/>
          <w:bCs/>
          <w:szCs w:val="32"/>
        </w:rPr>
      </w:pPr>
      <w:bookmarkStart w:id="62" w:name="_Toc53403244"/>
      <w:bookmarkStart w:id="63" w:name="_Toc50385812"/>
      <w:r>
        <w:rPr>
          <w:rFonts w:ascii="Times New Roman" w:hAnsi="Times New Roman" w:eastAsia="黑体" w:cs="Times New Roman"/>
          <w:bCs/>
          <w:kern w:val="2"/>
          <w:sz w:val="32"/>
          <w:szCs w:val="32"/>
          <w:lang w:val="en-US" w:eastAsia="zh-CN" w:bidi="ar-SA"/>
        </w:rPr>
        <w:pict>
          <v:shape id="图片 1" o:spid="_x0000_s1027" type="#_x0000_t75" style="height:388.3pt;width:552.0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spacing w:line="240" w:lineRule="auto"/>
        <w:ind w:firstLine="0" w:firstLineChars="0"/>
        <w:jc w:val="center"/>
        <w:rPr>
          <w:rFonts w:eastAsia="黑体"/>
          <w:bCs/>
          <w:sz w:val="28"/>
          <w:szCs w:val="28"/>
        </w:rPr>
      </w:pPr>
      <w:r>
        <w:rPr>
          <w:rFonts w:eastAsia="黑体"/>
          <w:bCs/>
          <w:sz w:val="28"/>
          <w:szCs w:val="28"/>
        </w:rPr>
        <w:t>图 1  余杭区“十四五”制造业发展空间布局</w:t>
      </w:r>
    </w:p>
    <w:p>
      <w:pPr>
        <w:spacing w:line="600" w:lineRule="exact"/>
        <w:ind w:firstLine="640"/>
        <w:rPr>
          <w:rFonts w:eastAsia="黑体"/>
          <w:bCs/>
          <w:szCs w:val="32"/>
        </w:rPr>
        <w:sectPr>
          <w:pgSz w:w="16838" w:h="11906" w:orient="landscape"/>
          <w:pgMar w:top="1800" w:right="1440" w:bottom="1800" w:left="1440" w:header="851" w:footer="992" w:gutter="0"/>
          <w:pgNumType w:fmt="numberInDash"/>
          <w:cols w:space="720" w:num="1"/>
          <w:docGrid w:type="lines" w:linePitch="435" w:charSpace="0"/>
        </w:sectPr>
      </w:pPr>
    </w:p>
    <w:p>
      <w:pPr>
        <w:spacing w:line="600" w:lineRule="exact"/>
        <w:ind w:firstLine="640"/>
        <w:outlineLvl w:val="0"/>
        <w:rPr>
          <w:rFonts w:eastAsia="黑体"/>
          <w:bCs/>
          <w:szCs w:val="32"/>
        </w:rPr>
      </w:pPr>
      <w:bookmarkStart w:id="64" w:name="_Toc94109610"/>
      <w:r>
        <w:rPr>
          <w:rFonts w:eastAsia="黑体"/>
          <w:bCs/>
          <w:szCs w:val="32"/>
        </w:rPr>
        <w:t>五、主要任务</w:t>
      </w:r>
      <w:bookmarkEnd w:id="62"/>
      <w:bookmarkEnd w:id="63"/>
      <w:bookmarkEnd w:id="64"/>
    </w:p>
    <w:p>
      <w:pPr>
        <w:spacing w:line="600" w:lineRule="exact"/>
        <w:ind w:firstLine="640"/>
        <w:outlineLvl w:val="1"/>
        <w:rPr>
          <w:rFonts w:eastAsia="楷体_GB2312"/>
          <w:bCs/>
          <w:szCs w:val="32"/>
        </w:rPr>
      </w:pPr>
      <w:bookmarkStart w:id="65" w:name="_Toc53403245"/>
      <w:bookmarkStart w:id="66" w:name="_Toc50385813"/>
      <w:bookmarkStart w:id="67" w:name="_Toc94109611"/>
      <w:r>
        <w:rPr>
          <w:rFonts w:eastAsia="楷体_GB2312"/>
          <w:bCs/>
          <w:szCs w:val="32"/>
        </w:rPr>
        <w:t>（一）</w:t>
      </w:r>
      <w:bookmarkStart w:id="68" w:name="_Hlk79492747"/>
      <w:r>
        <w:rPr>
          <w:rFonts w:eastAsia="楷体_GB2312"/>
          <w:bCs/>
          <w:szCs w:val="32"/>
        </w:rPr>
        <w:t>强化科技</w:t>
      </w:r>
      <w:bookmarkEnd w:id="65"/>
      <w:bookmarkEnd w:id="66"/>
      <w:r>
        <w:rPr>
          <w:rFonts w:eastAsia="楷体_GB2312"/>
          <w:bCs/>
          <w:szCs w:val="32"/>
        </w:rPr>
        <w:t>创新驱动，打造产业创新策源地</w:t>
      </w:r>
      <w:bookmarkEnd w:id="67"/>
      <w:bookmarkEnd w:id="68"/>
    </w:p>
    <w:p>
      <w:pPr>
        <w:spacing w:line="600" w:lineRule="exact"/>
        <w:ind w:firstLine="643"/>
        <w:outlineLvl w:val="2"/>
        <w:rPr>
          <w:b/>
          <w:bCs/>
          <w:szCs w:val="32"/>
        </w:rPr>
      </w:pPr>
      <w:r>
        <w:rPr>
          <w:b/>
          <w:bCs/>
          <w:szCs w:val="32"/>
        </w:rPr>
        <w:t>1．加快建设重大创新载体</w:t>
      </w:r>
    </w:p>
    <w:p>
      <w:pPr>
        <w:spacing w:line="600" w:lineRule="exact"/>
        <w:ind w:firstLine="640"/>
        <w:rPr>
          <w:color w:val="000000"/>
          <w:szCs w:val="32"/>
        </w:rPr>
      </w:pPr>
      <w:r>
        <w:rPr>
          <w:rFonts w:hint="eastAsia"/>
          <w:bCs/>
          <w:snapToGrid w:val="0"/>
          <w:kern w:val="44"/>
          <w:szCs w:val="32"/>
        </w:rPr>
        <w:t>抢抓杭州</w:t>
      </w:r>
      <w:r>
        <w:rPr>
          <w:szCs w:val="32"/>
        </w:rPr>
        <w:t>城西科创大走廊建设机遇，</w:t>
      </w:r>
      <w:r>
        <w:rPr>
          <w:rFonts w:hint="eastAsia"/>
          <w:szCs w:val="32"/>
        </w:rPr>
        <w:t>全力</w:t>
      </w:r>
      <w:r>
        <w:rPr>
          <w:szCs w:val="32"/>
        </w:rPr>
        <w:t>争创综合性国家科学中心</w:t>
      </w:r>
      <w:r>
        <w:rPr>
          <w:rFonts w:hint="eastAsia"/>
          <w:szCs w:val="32"/>
        </w:rPr>
        <w:t>核心区，</w:t>
      </w:r>
      <w:r>
        <w:rPr>
          <w:szCs w:val="32"/>
        </w:rPr>
        <w:t>加快南湖科学中心建设，</w:t>
      </w:r>
      <w:r>
        <w:rPr>
          <w:bCs/>
          <w:snapToGrid w:val="0"/>
          <w:kern w:val="44"/>
          <w:szCs w:val="32"/>
        </w:rPr>
        <w:t>深入推进之江实验室、</w:t>
      </w:r>
      <w:r>
        <w:rPr>
          <w:rFonts w:hint="eastAsia"/>
          <w:bCs/>
          <w:snapToGrid w:val="0"/>
          <w:kern w:val="44"/>
          <w:szCs w:val="32"/>
        </w:rPr>
        <w:t>阿里达摩院</w:t>
      </w:r>
      <w:r>
        <w:rPr>
          <w:bCs/>
          <w:snapToGrid w:val="0"/>
          <w:kern w:val="44"/>
          <w:szCs w:val="32"/>
        </w:rPr>
        <w:t>、良渚实验室等新型创新载体及</w:t>
      </w:r>
      <w:r>
        <w:rPr>
          <w:color w:val="000000"/>
          <w:szCs w:val="32"/>
        </w:rPr>
        <w:t>智能科学与技术、数据科学与应用、系统医学与</w:t>
      </w:r>
      <w:r>
        <w:rPr>
          <w:rFonts w:hint="eastAsia"/>
          <w:color w:val="000000"/>
          <w:szCs w:val="32"/>
        </w:rPr>
        <w:t>精准</w:t>
      </w:r>
      <w:r>
        <w:rPr>
          <w:color w:val="000000"/>
          <w:szCs w:val="32"/>
        </w:rPr>
        <w:t>诊治等实验室建设，谋划开展未来实验室建设，积极争创国家实验室。全力推进超重力离心模拟与实验装置建设，积极谋划量子精密测量与传感、新一代工业控制系统等重大科学装置建设，形成重大科技基础设施群。深化“名校名院名所”协同，推进中法航空大学建设，大力引培高水平院校和新型研发机构</w:t>
      </w:r>
      <w:r>
        <w:rPr>
          <w:rFonts w:hint="eastAsia"/>
          <w:color w:val="000000"/>
          <w:szCs w:val="32"/>
        </w:rPr>
        <w:t>，建设国家传染病医学中心（浙江）</w:t>
      </w:r>
      <w:r>
        <w:rPr>
          <w:color w:val="000000"/>
          <w:szCs w:val="32"/>
        </w:rPr>
        <w:t>。</w:t>
      </w:r>
      <w:r>
        <w:rPr>
          <w:spacing w:val="-2"/>
          <w:szCs w:val="32"/>
        </w:rPr>
        <w:t>支持企业健全科研管理机制，推动规模以上制造业企业研发活动、研发机构、发明专利全覆盖。到2025年，新争取至少1个国家级重大科技基础设施落户，建成1个国家实验室、1个国家重点实验室、3个省实验室，累计培育国家级、省级企业技术中心5家、20家。</w:t>
      </w:r>
    </w:p>
    <w:p>
      <w:pPr>
        <w:pStyle w:val="7"/>
        <w:spacing w:line="600" w:lineRule="exact"/>
        <w:ind w:firstLine="643" w:firstLineChars="0"/>
        <w:outlineLvl w:val="2"/>
        <w:rPr>
          <w:rFonts w:cs="Times New Roman"/>
          <w:b/>
          <w:bCs/>
          <w:kern w:val="2"/>
        </w:rPr>
      </w:pPr>
      <w:r>
        <w:rPr>
          <w:rFonts w:cs="Times New Roman"/>
          <w:b/>
          <w:bCs/>
        </w:rPr>
        <w:t>2．</w:t>
      </w:r>
      <w:r>
        <w:rPr>
          <w:rFonts w:cs="Times New Roman"/>
          <w:b/>
          <w:bCs/>
          <w:kern w:val="2"/>
        </w:rPr>
        <w:t>加强关键核心技术攻关</w:t>
      </w:r>
    </w:p>
    <w:p>
      <w:pPr>
        <w:spacing w:line="600" w:lineRule="exact"/>
        <w:ind w:firstLine="640"/>
      </w:pPr>
      <w:r>
        <w:rPr>
          <w:bCs/>
        </w:rPr>
        <w:t>围绕制造业重点基础领域，对接国家自然科学基金项目、国家科技重大专项和省“尖峰计划”，</w:t>
      </w:r>
      <w:r>
        <w:rPr>
          <w:color w:val="000000"/>
        </w:rPr>
        <w:t>联动科创平台、高校院所、科研机构和企业，构建政产学研企合力攻关体制，</w:t>
      </w:r>
      <w:r>
        <w:rPr>
          <w:bCs/>
        </w:rPr>
        <w:t>加快取得一批填补空白、引领未来的重大成果。对接国家科技创新2030重大项目、重点研发计划和省“尖兵”“领雁”“领航”等计划，制订重大项目攻关计划。支持创新型领军企业整合优势创新资源，组建创新联合体、技术创新中心或产业创新联盟，实施产业链协同创新项目，加强产业共性技术协同攻关。强化政府组织力，瞄准智能制造重点方向，实施“揭榜挂帅”“赛马制”定向攻关，探索关键技术产业化余杭模式。</w:t>
      </w:r>
    </w:p>
    <w:p>
      <w:pPr>
        <w:spacing w:line="600" w:lineRule="exact"/>
        <w:ind w:firstLine="643"/>
        <w:outlineLvl w:val="2"/>
        <w:rPr>
          <w:b/>
          <w:bCs/>
          <w:szCs w:val="32"/>
        </w:rPr>
      </w:pPr>
      <w:r>
        <w:rPr>
          <w:b/>
          <w:bCs/>
          <w:szCs w:val="32"/>
        </w:rPr>
        <w:t>3．持续推进科技成果转化</w:t>
      </w:r>
    </w:p>
    <w:p>
      <w:pPr>
        <w:spacing w:line="600" w:lineRule="exact"/>
        <w:ind w:firstLine="640"/>
      </w:pPr>
      <w:r>
        <w:rPr>
          <w:bCs/>
        </w:rPr>
        <w:t>以打造“产学研用金、才政介美云”十联动创新创业生态系统为方向，</w:t>
      </w:r>
      <w:bookmarkStart w:id="69" w:name="_Hlk77356322"/>
      <w:r>
        <w:rPr>
          <w:bCs/>
        </w:rPr>
        <w:t>完善技术创新、成果转化、创业创新全生命周期的创新链条，打通“最后一公里”。</w:t>
      </w:r>
      <w:bookmarkEnd w:id="69"/>
      <w:r>
        <w:rPr>
          <w:bCs/>
        </w:rPr>
        <w:t>依托中国浙江网上技术市场3.0建设，统筹整合各类主体科技成果、技术需求、科技服务资源，加快形成线上线下融合的科技成果转化和技术交易体系。落实知识产权、技术、数据等要素市场化配置，加快探索要素价值的实现形式。依托浙江（杭州）知识产权创新产业园等平台，推进知识产权质押融资试点，探索知识产权证券化，实现科技创新成果商品化、资本化、产业化发展。推广股权激励和科技成果转化机制，落实科研经费管理政策，建立更高水平的校地合作、科地合作机制，赋予科研机构和高校更大的科研经费使用和收入分配自主权，提高科研人员科技成果转化收益分享比例。</w:t>
      </w:r>
    </w:p>
    <w:p>
      <w:pPr>
        <w:spacing w:line="600" w:lineRule="exact"/>
        <w:ind w:firstLine="640"/>
        <w:outlineLvl w:val="1"/>
        <w:rPr>
          <w:rFonts w:eastAsia="楷体_GB2312"/>
          <w:bCs/>
          <w:szCs w:val="32"/>
        </w:rPr>
      </w:pPr>
      <w:bookmarkStart w:id="70" w:name="_Toc53403246"/>
      <w:bookmarkStart w:id="71" w:name="_Toc50385814"/>
      <w:bookmarkStart w:id="72" w:name="_Toc94109612"/>
      <w:r>
        <w:rPr>
          <w:rFonts w:eastAsia="楷体_GB2312"/>
          <w:bCs/>
          <w:szCs w:val="32"/>
        </w:rPr>
        <w:t>（二）深化产业基础再造，</w:t>
      </w:r>
      <w:bookmarkEnd w:id="70"/>
      <w:bookmarkEnd w:id="71"/>
      <w:r>
        <w:rPr>
          <w:rFonts w:eastAsia="楷体_GB2312"/>
          <w:bCs/>
          <w:szCs w:val="32"/>
        </w:rPr>
        <w:t>实施产业链现代化攻坚</w:t>
      </w:r>
      <w:bookmarkEnd w:id="72"/>
    </w:p>
    <w:p>
      <w:pPr>
        <w:spacing w:line="600" w:lineRule="exact"/>
        <w:ind w:firstLine="643"/>
        <w:outlineLvl w:val="2"/>
        <w:rPr>
          <w:b/>
          <w:bCs/>
          <w:szCs w:val="32"/>
        </w:rPr>
      </w:pPr>
      <w:bookmarkStart w:id="73" w:name="_Toc42241473"/>
      <w:r>
        <w:rPr>
          <w:b/>
          <w:bCs/>
          <w:szCs w:val="32"/>
        </w:rPr>
        <w:t>1．夯实产业基础能力</w:t>
      </w:r>
    </w:p>
    <w:p>
      <w:pPr>
        <w:adjustRightInd w:val="0"/>
        <w:snapToGrid w:val="0"/>
        <w:spacing w:line="600" w:lineRule="exact"/>
        <w:ind w:firstLine="640"/>
        <w:rPr>
          <w:bCs/>
          <w:szCs w:val="32"/>
        </w:rPr>
      </w:pPr>
      <w:r>
        <w:rPr>
          <w:bCs/>
          <w:szCs w:val="32"/>
        </w:rPr>
        <w:t>实施制造业首台（套）提升工程，优化首台（套）装备、首批次材料、首版次软件等创新产品大规模应用生态，促进高端医疗器械、智能硬件、新材料等自主创新产品产业化应用。</w:t>
      </w:r>
      <w:r>
        <w:t>加强</w:t>
      </w:r>
      <w:r>
        <w:rPr>
          <w:bCs/>
        </w:rPr>
        <w:t>国产化</w:t>
      </w:r>
      <w:r>
        <w:t>重大项目引进，结合余杭重点领域</w:t>
      </w:r>
      <w:r>
        <w:rPr>
          <w:bCs/>
        </w:rPr>
        <w:t>基础材料和装备需求，采取“专班跟踪”等方式招引和推动重大技术装备与核心零部件国产化项目落地。</w:t>
      </w:r>
    </w:p>
    <w:p>
      <w:pPr>
        <w:spacing w:line="600" w:lineRule="exact"/>
        <w:ind w:firstLine="643"/>
        <w:outlineLvl w:val="2"/>
        <w:rPr>
          <w:b/>
          <w:bCs/>
          <w:szCs w:val="32"/>
        </w:rPr>
      </w:pPr>
      <w:r>
        <w:rPr>
          <w:b/>
          <w:bCs/>
          <w:szCs w:val="32"/>
        </w:rPr>
        <w:t>2．加快关键环节补链</w:t>
      </w:r>
    </w:p>
    <w:p>
      <w:pPr>
        <w:adjustRightInd w:val="0"/>
        <w:snapToGrid w:val="0"/>
        <w:spacing w:line="600" w:lineRule="exact"/>
        <w:ind w:firstLine="640"/>
        <w:rPr>
          <w:szCs w:val="32"/>
        </w:rPr>
      </w:pPr>
      <w:r>
        <w:rPr>
          <w:szCs w:val="32"/>
        </w:rPr>
        <w:t>持续动态跟踪调整本地企业产业链断链断供风险清单，</w:t>
      </w:r>
      <w:r>
        <w:t>根据省市部署，推动龙头企业建立同准备份、降准备份机制。</w:t>
      </w:r>
      <w:r>
        <w:rPr>
          <w:szCs w:val="32"/>
        </w:rPr>
        <w:t>以“双招双引”为抓手，</w:t>
      </w:r>
      <w:r>
        <w:t>统筹产业链招商、以商引商、平台招商、虚拟空间招商等招商“组合拳”模式，</w:t>
      </w:r>
      <w:r>
        <w:rPr>
          <w:szCs w:val="32"/>
        </w:rPr>
        <w:t>健全“一盘棋”的招商格局，根据各大平台资源禀赋，</w:t>
      </w:r>
      <w:r>
        <w:t>编制完善招商名录和产业招商地图，</w:t>
      </w:r>
      <w:r>
        <w:rPr>
          <w:szCs w:val="32"/>
        </w:rPr>
        <w:t>实施差异化招商，加大对重点地区、重点企业和优质项目的招商力度，全力招引标志性、示范性、带动性强的头部企业和“单打冠军”项目。</w:t>
      </w:r>
      <w:r>
        <w:t>深度参与长三角地区产业链协作，主动参与构建优势互补、产业协作、利益共享的跨区域制造业生态圈。</w:t>
      </w:r>
      <w:r>
        <w:rPr>
          <w:bCs/>
        </w:rPr>
        <w:t>重点针对区内企业在专用芯片、智能硬件、高端医疗器械等领域的关键配套需求，通过与深圳、上海、苏州等地资源对接导入，探索打造一批产能协同、设计能力共享、线上线下结合的共享工厂（平台）。</w:t>
      </w:r>
    </w:p>
    <w:p>
      <w:pPr>
        <w:spacing w:line="600" w:lineRule="exact"/>
        <w:ind w:firstLine="643"/>
        <w:outlineLvl w:val="2"/>
        <w:rPr>
          <w:b/>
          <w:bCs/>
          <w:szCs w:val="32"/>
        </w:rPr>
      </w:pPr>
      <w:r>
        <w:rPr>
          <w:b/>
          <w:bCs/>
          <w:szCs w:val="32"/>
        </w:rPr>
        <w:t>3．推动全球精准合作</w:t>
      </w:r>
    </w:p>
    <w:p>
      <w:pPr>
        <w:adjustRightInd w:val="0"/>
        <w:snapToGrid w:val="0"/>
        <w:spacing w:line="600" w:lineRule="exact"/>
        <w:ind w:firstLine="640"/>
        <w:rPr>
          <w:color w:val="000000"/>
          <w:szCs w:val="32"/>
        </w:rPr>
      </w:pPr>
      <w:r>
        <w:rPr>
          <w:color w:val="000000"/>
        </w:rPr>
        <w:t>积极探索自贸区杭州联动创新区余杭片区制度创新，</w:t>
      </w:r>
      <w:r>
        <w:rPr>
          <w:szCs w:val="32"/>
        </w:rPr>
        <w:t>主动参与对接RCEP自贸区合作、中国（浙江）—东盟经贸合作、“浙欧合作”活动，深化“一带一路”国家产业链和供应链合作。发挥资本市场和产业基金作用，综合运用股权投资、收购兼并、技术买断、合资等方式，引入投资规模大、产业带动强、经济效益好、科技含量高的国际产业链项目。支持企业“走出去”参与资源全球配置，鼓励龙头企业建设海外研究中心、海外创新孵化中心、国际临床研究中心等，探索投资建设中外合作产业园、</w:t>
      </w:r>
      <w:r>
        <w:rPr>
          <w:bCs/>
        </w:rPr>
        <w:t>离岸孵化器、虚拟产业园、</w:t>
      </w:r>
      <w:r>
        <w:rPr>
          <w:szCs w:val="32"/>
        </w:rPr>
        <w:t>境外加工园和海外飞地，加强全球产能合作。</w:t>
      </w:r>
      <w:bookmarkEnd w:id="73"/>
    </w:p>
    <w:p>
      <w:pPr>
        <w:spacing w:line="600" w:lineRule="exact"/>
        <w:ind w:firstLine="640"/>
        <w:outlineLvl w:val="1"/>
        <w:rPr>
          <w:b/>
          <w:bCs/>
        </w:rPr>
      </w:pPr>
      <w:bookmarkStart w:id="74" w:name="_Toc50385815"/>
      <w:bookmarkStart w:id="75" w:name="_Toc53403247"/>
      <w:bookmarkStart w:id="76" w:name="_Toc94109613"/>
      <w:r>
        <w:rPr>
          <w:rFonts w:eastAsia="楷体_GB2312"/>
          <w:bCs/>
          <w:szCs w:val="32"/>
        </w:rPr>
        <w:t>（三）</w:t>
      </w:r>
      <w:bookmarkEnd w:id="74"/>
      <w:bookmarkEnd w:id="75"/>
      <w:r>
        <w:rPr>
          <w:rFonts w:eastAsia="楷体_GB2312"/>
          <w:bCs/>
          <w:szCs w:val="32"/>
        </w:rPr>
        <w:t>促进主体队伍壮大，形成“五企培育”新经验</w:t>
      </w:r>
      <w:bookmarkEnd w:id="76"/>
    </w:p>
    <w:p>
      <w:pPr>
        <w:spacing w:line="600" w:lineRule="exact"/>
        <w:ind w:firstLine="643"/>
        <w:outlineLvl w:val="2"/>
        <w:rPr>
          <w:b/>
          <w:bCs/>
          <w:szCs w:val="32"/>
        </w:rPr>
      </w:pPr>
      <w:r>
        <w:rPr>
          <w:b/>
          <w:bCs/>
          <w:szCs w:val="32"/>
        </w:rPr>
        <w:t>1．大力引育领军型企业</w:t>
      </w:r>
    </w:p>
    <w:p>
      <w:pPr>
        <w:adjustRightInd w:val="0"/>
        <w:snapToGrid w:val="0"/>
        <w:spacing w:line="600" w:lineRule="exact"/>
        <w:ind w:firstLine="640"/>
        <w:rPr>
          <w:bCs/>
        </w:rPr>
      </w:pPr>
      <w:r>
        <w:rPr>
          <w:bCs/>
        </w:rPr>
        <w:t>深入实施“雄鹰行动”，大力引培一批制造业雄鹰企业和链主企业，</w:t>
      </w:r>
      <w:r>
        <w:t>围绕大型制造企业集团再成长、再突破，全力支持头部企业冲刺世界500强、中国500强，</w:t>
      </w:r>
      <w:r>
        <w:rPr>
          <w:bCs/>
        </w:rPr>
        <w:t>培育一批“名企”“名家”，打造全球创新研发总部基地。以雄鹰企业和链主企业为核心，组建产业链上下游企业共同体、创新联合体。</w:t>
      </w:r>
      <w:r>
        <w:t>加强对制造业平台型生态型企业的扶持，鼓励平台生态型企业提升辐射带动能力，构建大企业生态圈。加快总部经济发展，积极招引一批制造业全球总部、第二总部、区域总部企业。到2025年，50亿、10亿规模工业企业分别超2家、20家。</w:t>
      </w:r>
    </w:p>
    <w:p>
      <w:pPr>
        <w:spacing w:line="600" w:lineRule="exact"/>
        <w:ind w:firstLine="643"/>
        <w:outlineLvl w:val="2"/>
        <w:rPr>
          <w:b/>
          <w:bCs/>
          <w:szCs w:val="32"/>
        </w:rPr>
      </w:pPr>
      <w:r>
        <w:rPr>
          <w:b/>
          <w:bCs/>
          <w:szCs w:val="32"/>
        </w:rPr>
        <w:t>2．梯次培育“专精特新”企业</w:t>
      </w:r>
    </w:p>
    <w:p>
      <w:pPr>
        <w:adjustRightInd w:val="0"/>
        <w:snapToGrid w:val="0"/>
        <w:spacing w:line="600" w:lineRule="exact"/>
        <w:ind w:firstLine="640"/>
        <w:rPr>
          <w:bCs/>
        </w:rPr>
      </w:pPr>
      <w:r>
        <w:rPr>
          <w:bCs/>
        </w:rPr>
        <w:t>深入实施“双百”企业培育工程，全面开展单项冠军、专精特新“小巨人”、隐形冠军企业培育专项行动，建立以专精特新高成长企业为主体的培育发展体系，引导企业深耕细分领域，增强专业化生产能力，推动企业创新、产品质量提升和品牌培育。深入实施</w:t>
      </w:r>
      <w:r>
        <w:t>“凤凰行动”，建立完善分层次、分类别、分梯队的上市企业培育名单，鼓励企业在境内外上市，鼓励企业在新三板和浙江股权交易中心挂牌</w:t>
      </w:r>
      <w:r>
        <w:rPr>
          <w:bCs/>
        </w:rPr>
        <w:t>，加快培育一批高市值上市企业。</w:t>
      </w:r>
      <w:r>
        <w:t>到2025年，我区累计培育新增国家级制造业单项冠军企业2家、专精特新“小巨人”企业8家，省级隐形冠军企业4家，工业领域上市企业累计达到25家以上。</w:t>
      </w:r>
    </w:p>
    <w:p>
      <w:pPr>
        <w:spacing w:line="600" w:lineRule="exact"/>
        <w:ind w:firstLine="643"/>
        <w:outlineLvl w:val="2"/>
        <w:rPr>
          <w:b/>
          <w:bCs/>
          <w:szCs w:val="32"/>
        </w:rPr>
      </w:pPr>
      <w:r>
        <w:rPr>
          <w:b/>
          <w:bCs/>
          <w:szCs w:val="32"/>
        </w:rPr>
        <w:t>3．推动大中小企业协同</w:t>
      </w:r>
    </w:p>
    <w:p>
      <w:pPr>
        <w:adjustRightInd w:val="0"/>
        <w:snapToGrid w:val="0"/>
        <w:spacing w:line="600" w:lineRule="exact"/>
        <w:ind w:firstLine="640"/>
        <w:rPr>
          <w:bCs/>
        </w:rPr>
      </w:pPr>
      <w:r>
        <w:rPr>
          <w:bCs/>
        </w:rPr>
        <w:t>深化实施科技企业“双倍增”行动，促进企业上规升级，推动中小微企业成长为高新技术企业、科技型中小企业，加快优化完善业务流程、管理制度和组织架构，推进管理现代化。鼓励大企业与中小企业开展产业链上下游专业化协作配套，形成资源开放、协同创新、能力共享、渠道共建、成果转化的紧密型协作关系。完善中小企业公共服务平台，建立中小企业社会化中介服务体系，持续推动企业精准减负和小微企业创新创业服务。到2025年，累计新增“小升规”工业企业200家。</w:t>
      </w:r>
    </w:p>
    <w:p>
      <w:pPr>
        <w:spacing w:line="600" w:lineRule="exact"/>
        <w:ind w:firstLine="640"/>
        <w:outlineLvl w:val="1"/>
        <w:rPr>
          <w:b/>
          <w:bCs/>
        </w:rPr>
      </w:pPr>
      <w:bookmarkStart w:id="77" w:name="_Toc50385816"/>
      <w:bookmarkStart w:id="78" w:name="_Toc53403248"/>
      <w:bookmarkStart w:id="79" w:name="_Toc94109614"/>
      <w:r>
        <w:rPr>
          <w:rFonts w:eastAsia="楷体_GB2312"/>
          <w:bCs/>
          <w:szCs w:val="32"/>
        </w:rPr>
        <w:t>（四）</w:t>
      </w:r>
      <w:bookmarkEnd w:id="77"/>
      <w:bookmarkEnd w:id="78"/>
      <w:r>
        <w:rPr>
          <w:rFonts w:eastAsia="楷体_GB2312"/>
          <w:bCs/>
          <w:szCs w:val="32"/>
        </w:rPr>
        <w:t>加快生产模式变革，深化“新智造”标杆</w:t>
      </w:r>
      <w:bookmarkEnd w:id="79"/>
    </w:p>
    <w:p>
      <w:pPr>
        <w:spacing w:line="600" w:lineRule="exact"/>
        <w:ind w:firstLine="643"/>
        <w:outlineLvl w:val="2"/>
        <w:rPr>
          <w:b/>
          <w:bCs/>
          <w:szCs w:val="32"/>
        </w:rPr>
      </w:pPr>
      <w:r>
        <w:rPr>
          <w:b/>
          <w:bCs/>
          <w:szCs w:val="32"/>
        </w:rPr>
        <w:t>1．推动“产业大脑+未来工厂”建设</w:t>
      </w:r>
    </w:p>
    <w:p>
      <w:pPr>
        <w:spacing w:line="600" w:lineRule="exact"/>
        <w:ind w:firstLine="640"/>
      </w:pPr>
      <w:r>
        <w:t>加强产业大脑</w:t>
      </w:r>
      <w:r>
        <w:rPr>
          <w:rFonts w:hint="eastAsia"/>
        </w:rPr>
        <w:t>综合支撑系统</w:t>
      </w:r>
      <w:r>
        <w:t>应用，谋划开展行业产业大脑建设试点，</w:t>
      </w:r>
      <w:r>
        <w:rPr>
          <w:color w:val="000000"/>
          <w:szCs w:val="32"/>
        </w:rPr>
        <w:t>促进产业链、供应链、资金链、创新链等数据综合集成</w:t>
      </w:r>
      <w:r>
        <w:t>，拓展共性技术分享、精准服务企业、产业生态协同、新智造等场景应用</w:t>
      </w:r>
      <w:r>
        <w:rPr>
          <w:color w:val="000000"/>
          <w:szCs w:val="32"/>
        </w:rPr>
        <w:t>。按照新智造标准体系，推动新一代信息技术与先进制造技术深度融合应用，分层次推进企业数字化、智能化转型。加快建立新智造企业培育库，开展智能制造能力成熟度评估，鼓励有条件企业积极创建“未来工厂”，持续开展数字化车间、智能工厂建设</w:t>
      </w:r>
      <w:r>
        <w:t>。到2025年，累计培育省级“未来工厂”和数字化车间/智能工厂3家、15家以上。</w:t>
      </w:r>
    </w:p>
    <w:p>
      <w:pPr>
        <w:spacing w:line="600" w:lineRule="exact"/>
        <w:ind w:firstLine="643"/>
        <w:outlineLvl w:val="2"/>
        <w:rPr>
          <w:b/>
          <w:bCs/>
          <w:szCs w:val="32"/>
        </w:rPr>
      </w:pPr>
      <w:r>
        <w:rPr>
          <w:b/>
          <w:bCs/>
          <w:szCs w:val="32"/>
        </w:rPr>
        <w:t>2．构建工业互联网应用生态</w:t>
      </w:r>
    </w:p>
    <w:p>
      <w:pPr>
        <w:adjustRightInd w:val="0"/>
        <w:snapToGrid w:val="0"/>
        <w:spacing w:line="600" w:lineRule="exact"/>
        <w:ind w:firstLine="640"/>
        <w:rPr>
          <w:bCs/>
        </w:rPr>
      </w:pPr>
      <w:r>
        <w:rPr>
          <w:bCs/>
        </w:rPr>
        <w:t>加快培育一批行业级、企业级、区域级、特定环节等工业互联网平台，推动工业互联网场景应用创新，打造一批制造业数字化智能化绿色化应用标杆场景，发展基于平台的网络协同制造、精益制造、共享制造新模式。落实“5G+工业互联网”专项行动，加快推进工业互联网标识应用，加快企业内外网改造，推动基础工艺、控制方法、运行机理等工业知识软件化、模型化，聚焦关键共性环节和重点应用场景，集成培育一批可复制可推广的工业APP。集聚一批</w:t>
      </w:r>
      <w:r>
        <w:t>工业信息工程服务机构，培育专业化数字化服务队伍</w:t>
      </w:r>
      <w:r>
        <w:rPr>
          <w:bCs/>
        </w:rPr>
        <w:t>。到2025年，实现亿元以上企业工业互联网平台应用基本覆盖，集聚智能制造服务商80家以上。</w:t>
      </w:r>
    </w:p>
    <w:p>
      <w:pPr>
        <w:spacing w:line="600" w:lineRule="exact"/>
        <w:ind w:firstLine="643"/>
        <w:outlineLvl w:val="2"/>
        <w:rPr>
          <w:b/>
          <w:bCs/>
          <w:szCs w:val="32"/>
        </w:rPr>
      </w:pPr>
      <w:r>
        <w:rPr>
          <w:b/>
          <w:bCs/>
          <w:szCs w:val="32"/>
        </w:rPr>
        <w:t>3．推进中小企业数字化转型</w:t>
      </w:r>
    </w:p>
    <w:p>
      <w:pPr>
        <w:spacing w:line="600" w:lineRule="exact"/>
        <w:ind w:firstLine="640"/>
      </w:pPr>
      <w:r>
        <w:t>面向中小企业实际需求和数字化转型方向，引导企业“上云用数赋智”，鼓励企业应用工业机器人、数控机床、增材制造、智能检测等数字化装备，全面推进智能化技术改造，持续提升数字化水平。全面引导中小微制造业企业上云上平台，推动中小企业计算资源、存储资源、网络资源、安全防护、办公桌面等基础设施及核心业务系统上云，以云ERP、云MES等应用为重点，开发部署高可靠、低成本、易维护的行业性数字化解决方案，快速全面提升小微企业数字化水平。到2025年，实现规上工业企业数字化改造全覆盖。</w:t>
      </w:r>
    </w:p>
    <w:p>
      <w:pPr>
        <w:spacing w:line="600" w:lineRule="exact"/>
        <w:ind w:firstLine="643"/>
        <w:outlineLvl w:val="2"/>
        <w:rPr>
          <w:b/>
          <w:bCs/>
          <w:szCs w:val="32"/>
        </w:rPr>
      </w:pPr>
      <w:r>
        <w:rPr>
          <w:b/>
          <w:bCs/>
          <w:szCs w:val="32"/>
        </w:rPr>
        <w:t>4．加快推进绿色低碳转型</w:t>
      </w:r>
    </w:p>
    <w:p>
      <w:pPr>
        <w:spacing w:line="600" w:lineRule="exact"/>
        <w:ind w:firstLine="640"/>
      </w:pPr>
      <w:r>
        <w:rPr>
          <w:szCs w:val="32"/>
        </w:rPr>
        <w:t>落实碳达峰、碳中和要求，大力推进重点行业绿色化、清洁化升级改造，</w:t>
      </w:r>
      <w:r>
        <w:t>提升工业生态文明水平。推动高碳行业率先达峰，加快落后产能淘汰，提升项目准入绿色标准，严格执行金属加工、建材、水泥等行业产能减量置换政策。推行工业产品绿色设计，应用绿色材料和</w:t>
      </w:r>
      <w:r>
        <w:rPr>
          <w:bCs/>
        </w:rPr>
        <w:t>节能、节水工艺技术，</w:t>
      </w:r>
      <w:r>
        <w:t>加快清洁能源替代，争创</w:t>
      </w:r>
      <w:r>
        <w:rPr>
          <w:bCs/>
        </w:rPr>
        <w:t>星级（国家级、省级）绿色工厂、绿色园区</w:t>
      </w:r>
      <w:r>
        <w:t>。支持龙头企业打造基于大数据的绿色供应链，将绿色低碳贯穿产品设计、采购、生产、销售、回收和循环利用全过程。全面推行企业“环保码”，探索建立覆盖制造业全生命周期的资源能源消耗、污染物排放、碳排放的区域数据管理体系，强化计量标准、采集管理、监测分析应用。</w:t>
      </w:r>
    </w:p>
    <w:p>
      <w:pPr>
        <w:spacing w:line="600" w:lineRule="exact"/>
        <w:ind w:firstLine="643"/>
        <w:outlineLvl w:val="2"/>
        <w:rPr>
          <w:b/>
          <w:bCs/>
          <w:szCs w:val="32"/>
        </w:rPr>
      </w:pPr>
      <w:r>
        <w:rPr>
          <w:b/>
          <w:bCs/>
          <w:szCs w:val="32"/>
        </w:rPr>
        <w:t>5．促进先进制造业和现代服务业深度融合</w:t>
      </w:r>
    </w:p>
    <w:p>
      <w:pPr>
        <w:ind w:firstLine="640"/>
        <w:rPr>
          <w:szCs w:val="32"/>
        </w:rPr>
      </w:pPr>
      <w:r>
        <w:t>探索重点产业领域融合发展新业态新模式，培育服务型制造示范企业（平台），以数字化、柔性化、集成化、共享化、平台化为路径，支持企业</w:t>
      </w:r>
      <w:r>
        <w:rPr>
          <w:szCs w:val="32"/>
        </w:rPr>
        <w:t>发展“互联网+”全生命周期服务、生命健康服务、智能装备总包及智能运维服务等新模式，构建“产品+内容+场景”的全链式生态，提升制造业价值链水平。推动生产性服务业专业化、高端化、国际化，</w:t>
      </w:r>
      <w:r>
        <w:rPr>
          <w:color w:val="000000"/>
        </w:rPr>
        <w:t>大力发展楼宇总部经济，加快信息服务、研发设计、科技服务、电子商务、人力资源服务、法律服务、金融服务等产业集聚。</w:t>
      </w:r>
      <w:r>
        <w:rPr>
          <w:szCs w:val="32"/>
        </w:rPr>
        <w:t>深化服务业改革创新，争创两业融合试点和</w:t>
      </w:r>
      <w:r>
        <w:rPr>
          <w:color w:val="000000"/>
        </w:rPr>
        <w:t>服务业扩大开放综合试点，</w:t>
      </w:r>
      <w:r>
        <w:rPr>
          <w:szCs w:val="32"/>
        </w:rPr>
        <w:t>搭建研发设计、检验检测、创新孵化、现代物流、数字化转型等公共服务平台，完善两业深度融合发展生态。</w:t>
      </w:r>
    </w:p>
    <w:p>
      <w:pPr>
        <w:spacing w:line="600" w:lineRule="exact"/>
        <w:ind w:firstLine="640"/>
        <w:outlineLvl w:val="1"/>
        <w:rPr>
          <w:rFonts w:eastAsia="楷体_GB2312"/>
          <w:bCs/>
          <w:szCs w:val="32"/>
        </w:rPr>
      </w:pPr>
      <w:bookmarkStart w:id="80" w:name="_Toc53403249"/>
      <w:bookmarkStart w:id="81" w:name="_Toc50385817"/>
      <w:bookmarkStart w:id="82" w:name="_Toc94109615"/>
      <w:r>
        <w:rPr>
          <w:rFonts w:eastAsia="楷体_GB2312"/>
          <w:bCs/>
          <w:szCs w:val="32"/>
        </w:rPr>
        <w:t>（五）</w:t>
      </w:r>
      <w:bookmarkEnd w:id="80"/>
      <w:bookmarkEnd w:id="81"/>
      <w:r>
        <w:rPr>
          <w:rFonts w:eastAsia="楷体_GB2312"/>
          <w:bCs/>
          <w:szCs w:val="32"/>
        </w:rPr>
        <w:t>推动品质标准升级，助力“双循环”发展格局</w:t>
      </w:r>
      <w:bookmarkEnd w:id="82"/>
    </w:p>
    <w:p>
      <w:pPr>
        <w:spacing w:line="600" w:lineRule="exact"/>
        <w:ind w:firstLine="643"/>
        <w:outlineLvl w:val="2"/>
        <w:rPr>
          <w:b/>
          <w:bCs/>
          <w:szCs w:val="32"/>
        </w:rPr>
      </w:pPr>
      <w:r>
        <w:rPr>
          <w:b/>
          <w:bCs/>
          <w:szCs w:val="32"/>
        </w:rPr>
        <w:t>1．推进产品质量全面提升</w:t>
      </w:r>
    </w:p>
    <w:p>
      <w:pPr>
        <w:spacing w:line="600" w:lineRule="exact"/>
        <w:ind w:firstLine="640"/>
      </w:pPr>
      <w:r>
        <w:t>加快推进产品质量全流程监管集成改革，实施质量提升示范项目，实施缺陷产品召回、产品伤害监测、产品质量担保等制度。鼓励推行企业全面质量管理，在有条件的企业推动首席质量官制度，积极开展质量风险分析与控制、质量成本管理、质量人才培育、质量管理体系升级等活动，推动内外销产品“同线同标同质”，提高质量在线监测、在线控制和产品全生命周期质量追溯能力，争创中国质量奖企业、全国“质量标杆”企业和省政府质量奖企业。强化质量服务供给，培育计量服务、认证认可服务、质量标准化服务、质量责任保险等质量服务机构，推动质量技术监督检测、特种设备检测、质量实验室等平台建设布局。力争到2025年，实现规上工业企业首席质量官制度全覆盖。</w:t>
      </w:r>
    </w:p>
    <w:p>
      <w:pPr>
        <w:spacing w:line="600" w:lineRule="exact"/>
        <w:ind w:firstLine="643"/>
        <w:outlineLvl w:val="2"/>
        <w:rPr>
          <w:b/>
          <w:bCs/>
          <w:szCs w:val="32"/>
        </w:rPr>
      </w:pPr>
      <w:r>
        <w:rPr>
          <w:b/>
          <w:bCs/>
          <w:szCs w:val="32"/>
        </w:rPr>
        <w:t>2．完善品牌培育推广体系</w:t>
      </w:r>
    </w:p>
    <w:p>
      <w:pPr>
        <w:spacing w:line="600" w:lineRule="exact"/>
        <w:ind w:firstLine="640"/>
        <w:rPr>
          <w:highlight w:val="yellow"/>
        </w:rPr>
      </w:pPr>
      <w:r>
        <w:rPr>
          <w:bCs/>
        </w:rPr>
        <w:t>着力推进“品字标浙江制造”培育，引培专业品牌服务推广机构，加强本地制造业品牌的宣传推广力度。培育产业集群区域品牌，支持集群龙头企业以品牌为纽带，开展与中小企业互惠互利的品牌合作共享。拓展内循环渠道，面向内需市场和新消费需求，发展多场景系列产品和品牌形象，丰富品牌文化内涵。支持自主品牌企业“走出去”开辟国际市场，鼓励企业注册国际商标、收购国际品牌和营销渠道。深化推进“互联网+”消费品推广模式，引导自主品牌利用网络销售平台拓展国内外市场。深化落实“浙江制造精品”政策，深入实施制造业首台（套）提升工程，重点加大对余杭区高端医疗器械、智能硬件、节能环保及新能源装备等创新产品的推广应用激励。到2025年，品字标浙江制造企业数量达40家。</w:t>
      </w:r>
    </w:p>
    <w:p>
      <w:pPr>
        <w:spacing w:line="600" w:lineRule="exact"/>
        <w:ind w:firstLine="643"/>
        <w:outlineLvl w:val="2"/>
        <w:rPr>
          <w:b/>
          <w:bCs/>
          <w:szCs w:val="32"/>
        </w:rPr>
      </w:pPr>
      <w:r>
        <w:rPr>
          <w:b/>
          <w:bCs/>
          <w:szCs w:val="32"/>
        </w:rPr>
        <w:t>3．大力实施标准化战略</w:t>
      </w:r>
    </w:p>
    <w:p>
      <w:pPr>
        <w:spacing w:line="600" w:lineRule="exact"/>
        <w:ind w:firstLine="640"/>
        <w:rPr>
          <w:bCs/>
        </w:rPr>
      </w:pPr>
      <w:r>
        <w:rPr>
          <w:bCs/>
        </w:rPr>
        <w:t>加强制造业标准体系建设，支持企业主导制定一批国家标准、地方标准、行业标准和团体标准，提升余杭标准“话语权”与竞争力，推动余杭制造业创新成果向标准转化。大力培育专业标准化技术组织，积极组建行业标准联盟，引导行业企业推进标准化应用，促进标准体系建设进程中的技术、管理、知识产权等全方位合作。鼓励企业和行业协会积极参与国际双多边标准化合作交流，深化对余杭制造业主要贸易国、地区和重点贸易产品的技术性贸易措施与标准研究，推进国内外技术标准互认互通。</w:t>
      </w:r>
    </w:p>
    <w:p>
      <w:pPr>
        <w:pStyle w:val="3"/>
        <w:ind w:firstLine="640"/>
        <w:rPr>
          <w:rFonts w:ascii="Times New Roman" w:hAnsi="Times New Roman" w:eastAsia="楷体_GB2312"/>
          <w:b w:val="0"/>
          <w:bCs w:val="0"/>
        </w:rPr>
      </w:pPr>
      <w:bookmarkStart w:id="83" w:name="_Toc94109616"/>
      <w:r>
        <w:rPr>
          <w:rFonts w:ascii="Times New Roman" w:hAnsi="Times New Roman" w:eastAsia="楷体_GB2312"/>
          <w:b w:val="0"/>
          <w:bCs w:val="0"/>
        </w:rPr>
        <w:t>（六）强化高端要素支撑，打造国际一流营商环境</w:t>
      </w:r>
      <w:bookmarkEnd w:id="83"/>
    </w:p>
    <w:p>
      <w:pPr>
        <w:spacing w:line="600" w:lineRule="exact"/>
        <w:ind w:firstLine="643"/>
        <w:outlineLvl w:val="2"/>
        <w:rPr>
          <w:b/>
          <w:bCs/>
          <w:szCs w:val="32"/>
        </w:rPr>
      </w:pPr>
      <w:r>
        <w:rPr>
          <w:b/>
          <w:bCs/>
          <w:szCs w:val="32"/>
        </w:rPr>
        <w:t>1．加强企业精准服务</w:t>
      </w:r>
    </w:p>
    <w:p>
      <w:pPr>
        <w:spacing w:line="600" w:lineRule="exact"/>
        <w:ind w:firstLine="640"/>
      </w:pPr>
      <w:r>
        <w:t>贯彻“我负责阳光雨露、你负责茁壮成长”理念，落实落细“三服务”2.0版，以数字化改革为引领，构建余杭“3352N”数字化改革工作体系，深化“互联网+涉企服务”，发挥企业码等服务平台作用，开展应用创新，为企业提供“点单式”服务，推动工业领域惠企政策实现线上办理、一口申报、精准筛选和主动推送，构建全天候全方位全覆盖全流程服务企业长效机制，完善企业投诉渠道和响应机制，动态调整优化产业扶持政策，做到惠企政策精准推送、应知尽知、应兑尽兑、应享尽享，提升企业服务水平。落实企业开办、施工许可、用电用水用气、信贷、纳税、跨境贸易等便利化行动和“减证便民”行动，全方位助力企业发展。</w:t>
      </w:r>
    </w:p>
    <w:p>
      <w:pPr>
        <w:spacing w:line="600" w:lineRule="exact"/>
        <w:ind w:firstLine="643"/>
        <w:outlineLvl w:val="2"/>
        <w:rPr>
          <w:b/>
          <w:bCs/>
          <w:szCs w:val="32"/>
        </w:rPr>
      </w:pPr>
      <w:r>
        <w:rPr>
          <w:b/>
          <w:bCs/>
          <w:szCs w:val="32"/>
        </w:rPr>
        <w:t>2．构建全球人才“蓄水池”</w:t>
      </w:r>
    </w:p>
    <w:p>
      <w:pPr>
        <w:spacing w:line="600" w:lineRule="exact"/>
        <w:ind w:firstLine="640"/>
      </w:pPr>
      <w:r>
        <w:t>落实“鲲鹏行动”计划，全面实施“翱翔计划·未来之星”行动，聚焦余杭区制造业重点领域，精准招引海内外战略科技人才、创新型领军人才、高端工程师和高水平创新团队，构建“热带雨林”式人才体系，全域打造国际化高端“人才特区”。推动新时代工匠培育，积极推动职业教育提质增量，完善劳动者终身职业技能培训制度；完善技术技能人才评价制度，推动技能人才与专业技术人才职业发展贯通。推进浙江人才大厦、梦溪论坛等建设，提升人才创新创业全生命周期服务便利化水平，强化人才政策精准供给，扩大市场主体的人才评价自主权，围绕人才住房、子女教育、社会保障等不断优化人才发展环境。</w:t>
      </w:r>
    </w:p>
    <w:p>
      <w:pPr>
        <w:spacing w:line="600" w:lineRule="exact"/>
        <w:ind w:firstLine="643"/>
        <w:outlineLvl w:val="2"/>
        <w:rPr>
          <w:b/>
          <w:bCs/>
          <w:szCs w:val="32"/>
        </w:rPr>
      </w:pPr>
      <w:r>
        <w:rPr>
          <w:b/>
          <w:bCs/>
          <w:szCs w:val="32"/>
        </w:rPr>
        <w:t>3．增强金融服务能力</w:t>
      </w:r>
    </w:p>
    <w:p>
      <w:pPr>
        <w:pStyle w:val="7"/>
        <w:spacing w:line="600" w:lineRule="exact"/>
        <w:ind w:firstLine="640"/>
        <w:rPr>
          <w:rFonts w:cs="Times New Roman"/>
        </w:rPr>
      </w:pPr>
      <w:r>
        <w:rPr>
          <w:rFonts w:cs="Times New Roman"/>
        </w:rPr>
        <w:t>全面落实“翱翔计划·未来之光”行动，深入实施企业上市和并购重组“凤凰行动”计划，深化上交所、深交所</w:t>
      </w:r>
      <w:r>
        <w:rPr>
          <w:rFonts w:hint="eastAsia" w:cs="Times New Roman"/>
        </w:rPr>
        <w:t>、北交所</w:t>
      </w:r>
      <w:r>
        <w:rPr>
          <w:rFonts w:cs="Times New Roman"/>
        </w:rPr>
        <w:t>战略合作，积极引进国内外知名股权投资机构，构建产业发展最优资本生态圈，增强金融服务实体经济能力。实施“融资畅通工程”，深化政银企合作，加大天使投资和创业投资扶持力度，健全企业发债融资机制，推进普惠金融发展。持续扩大政府产业基金规模，发挥政府产业基金对重点制造业项目投资的引导和杠杆作用，引导风险投资等社会资本进入先进制造业领域，形成“政府基金+社会资本”的产业基金群，深化健全基金投资运作绩效评价体系。</w:t>
      </w:r>
    </w:p>
    <w:p>
      <w:pPr>
        <w:spacing w:line="600" w:lineRule="exact"/>
        <w:ind w:firstLine="640"/>
        <w:outlineLvl w:val="0"/>
        <w:rPr>
          <w:rFonts w:eastAsia="黑体"/>
          <w:bCs/>
          <w:szCs w:val="32"/>
        </w:rPr>
      </w:pPr>
      <w:bookmarkStart w:id="84" w:name="_Toc94109617"/>
      <w:bookmarkStart w:id="85" w:name="_Toc53403250"/>
      <w:bookmarkStart w:id="86" w:name="_Toc50385818"/>
      <w:r>
        <w:rPr>
          <w:rFonts w:eastAsia="黑体"/>
          <w:bCs/>
          <w:szCs w:val="32"/>
        </w:rPr>
        <w:t>六、重点工程</w:t>
      </w:r>
      <w:bookmarkEnd w:id="84"/>
    </w:p>
    <w:p>
      <w:pPr>
        <w:pStyle w:val="3"/>
        <w:ind w:firstLine="640"/>
        <w:rPr>
          <w:rFonts w:ascii="Times New Roman" w:hAnsi="Times New Roman"/>
        </w:rPr>
      </w:pPr>
      <w:bookmarkStart w:id="87" w:name="_Toc94109620"/>
      <w:bookmarkStart w:id="88" w:name="_Toc94109618"/>
      <w:r>
        <w:rPr>
          <w:rFonts w:ascii="Times New Roman" w:hAnsi="Times New Roman" w:eastAsia="楷体_GB2312"/>
          <w:b w:val="0"/>
          <w:bCs w:val="0"/>
        </w:rPr>
        <w:t>（</w:t>
      </w:r>
      <w:r>
        <w:rPr>
          <w:rFonts w:hint="eastAsia" w:ascii="Times New Roman" w:hAnsi="Times New Roman" w:eastAsia="楷体_GB2312"/>
          <w:b w:val="0"/>
          <w:bCs w:val="0"/>
        </w:rPr>
        <w:t>一</w:t>
      </w:r>
      <w:r>
        <w:rPr>
          <w:rFonts w:ascii="Times New Roman" w:hAnsi="Times New Roman" w:eastAsia="楷体_GB2312"/>
          <w:b w:val="0"/>
          <w:bCs w:val="0"/>
        </w:rPr>
        <w:t>）</w:t>
      </w:r>
      <w:r>
        <w:rPr>
          <w:rFonts w:hint="eastAsia" w:ascii="Times New Roman" w:hAnsi="Times New Roman" w:eastAsia="楷体_GB2312"/>
          <w:b w:val="0"/>
          <w:bCs w:val="0"/>
        </w:rPr>
        <w:t>有机更新</w:t>
      </w:r>
      <w:r>
        <w:rPr>
          <w:rFonts w:ascii="Times New Roman" w:hAnsi="Times New Roman" w:eastAsia="楷体_GB2312"/>
          <w:b w:val="0"/>
          <w:bCs w:val="0"/>
        </w:rPr>
        <w:t>工程</w:t>
      </w:r>
      <w:bookmarkEnd w:id="87"/>
    </w:p>
    <w:p>
      <w:pPr>
        <w:spacing w:line="600" w:lineRule="exact"/>
        <w:ind w:firstLine="640"/>
      </w:pPr>
      <w:r>
        <w:t>迭代升级大孵化器战略，结合“翱翔计划·未来之源”行动、“梧桐计划”等空间有机更新计划实施，拓展产业承载空间，加快产业集聚。结合数字化改革，以“亩均论英雄”平台为基础，加强园区有机更新全过程动态监测，积极应用“一键找园”场景，确保新项目尽快落图落位。充分利用余小创、宗地评价等系统平台，建立以规划为导引，细化各孵化器、楼宇、产业园区准入标准，打造一批楼宇经济标杆和专业化品牌示范试点园区，有效推动重点产业、重点企业全生命周期管理，确保规划落实、产业高效集聚协同，形成全区跨平台企业梯度成长承接机制。到2025年，建立完善统一的科技孵化、招商信息、楼宇服务、产业园区运行监测和服务平台，“实验室—孵化器—加速器—产业园区”产业梯度发展空间进一步优化，打通余杭制造业与数字经济、总部经济发展的“任督二脉”。</w:t>
      </w:r>
    </w:p>
    <w:p>
      <w:pPr>
        <w:pStyle w:val="3"/>
        <w:ind w:firstLine="640"/>
        <w:rPr>
          <w:rFonts w:ascii="Times New Roman" w:hAnsi="Times New Roman" w:eastAsia="楷体_GB2312"/>
          <w:b w:val="0"/>
          <w:bCs w:val="0"/>
        </w:rPr>
      </w:pPr>
      <w:r>
        <w:rPr>
          <w:rFonts w:ascii="Times New Roman" w:hAnsi="Times New Roman" w:eastAsia="楷体_GB2312"/>
          <w:b w:val="0"/>
          <w:bCs w:val="0"/>
        </w:rPr>
        <w:t>（</w:t>
      </w:r>
      <w:r>
        <w:rPr>
          <w:rFonts w:hint="eastAsia" w:ascii="Times New Roman" w:hAnsi="Times New Roman" w:eastAsia="楷体_GB2312"/>
          <w:b w:val="0"/>
          <w:bCs w:val="0"/>
        </w:rPr>
        <w:t>二</w:t>
      </w:r>
      <w:r>
        <w:rPr>
          <w:rFonts w:ascii="Times New Roman" w:hAnsi="Times New Roman" w:eastAsia="楷体_GB2312"/>
          <w:b w:val="0"/>
          <w:bCs w:val="0"/>
        </w:rPr>
        <w:t>）创新型产业集群建设工程</w:t>
      </w:r>
      <w:bookmarkEnd w:id="88"/>
    </w:p>
    <w:p>
      <w:pPr>
        <w:pStyle w:val="7"/>
        <w:spacing w:line="600" w:lineRule="exact"/>
        <w:ind w:firstLine="640"/>
        <w:rPr>
          <w:rFonts w:cs="Times New Roman"/>
        </w:rPr>
      </w:pPr>
      <w:r>
        <w:rPr>
          <w:rFonts w:cs="Times New Roman"/>
        </w:rPr>
        <w:t>充分发挥余杭在创新、数字、金融等领域的优势，以区内龙头骨干企业、重点项目为主抓手，推动与区外企业在产业链各重点环节形成细化分工与互补，通过产业链整合、建立联盟、关键技术掌控、股权并购等方式，构建完整产业链合作生态，打造创新型产业集群。积极探索推进“飞地”双向合作模式，谋划打造特别合作区，构建“以余杭为核心、有核无边”产业空间布局，在生物医药、新一代信息技术等领域开展深度合作，培育一批以余杭为核心、跨区域协同的产业链。以临平、临安、德清等周边区域为重点，谋划打造一批“余杭+”特别协作产业园。力争到2025年，力争打造2个以上特别合作区，孵化培育一批“新星”产业群。</w:t>
      </w:r>
    </w:p>
    <w:p>
      <w:pPr>
        <w:pStyle w:val="3"/>
        <w:ind w:firstLine="640"/>
        <w:rPr>
          <w:rFonts w:ascii="Times New Roman" w:hAnsi="Times New Roman" w:eastAsia="楷体_GB2312"/>
          <w:b w:val="0"/>
          <w:bCs w:val="0"/>
        </w:rPr>
      </w:pPr>
      <w:bookmarkStart w:id="89" w:name="_Toc94109619"/>
      <w:r>
        <w:rPr>
          <w:rFonts w:ascii="Times New Roman" w:hAnsi="Times New Roman" w:eastAsia="楷体_GB2312"/>
          <w:b w:val="0"/>
          <w:bCs w:val="0"/>
        </w:rPr>
        <w:t>（</w:t>
      </w:r>
      <w:r>
        <w:rPr>
          <w:rFonts w:hint="eastAsia" w:ascii="Times New Roman" w:hAnsi="Times New Roman" w:eastAsia="楷体_GB2312"/>
          <w:b w:val="0"/>
          <w:bCs w:val="0"/>
        </w:rPr>
        <w:t>三</w:t>
      </w:r>
      <w:r>
        <w:rPr>
          <w:rFonts w:ascii="Times New Roman" w:hAnsi="Times New Roman" w:eastAsia="楷体_GB2312"/>
          <w:b w:val="0"/>
          <w:bCs w:val="0"/>
        </w:rPr>
        <w:t>）未来产业培育工程</w:t>
      </w:r>
      <w:bookmarkEnd w:id="89"/>
    </w:p>
    <w:p>
      <w:pPr>
        <w:spacing w:line="600" w:lineRule="exact"/>
        <w:ind w:firstLine="640"/>
      </w:pPr>
      <w:r>
        <w:t>聚焦类脑计算、量子信息、未来网络、航空科技、脑机接口等重点未来产业，开展“一产业一策”培育，探索未来产业发展体制机制创新推动未来产业生态化发展。建立未来产业培育重大专项政策，通过“揭榜挂帅”等形式，重点支持未来产业科技成果中试、熟化、转化中的技术攻关，完善未来产业技术创新、大会大赛、产业化空间载体、专业基金等联动机制，打造“源头创新-技术开发-成果转化-产业集聚”的未来产业生态圈，促进未来产业创新主体集聚，抢占未来产业发展先机。到2025年，力争落地5个以上未来产业领域世界级大会，建立5个以上未来技术试验场，打造5个以上专业化园区平台。</w:t>
      </w:r>
    </w:p>
    <w:p>
      <w:pPr>
        <w:pStyle w:val="3"/>
        <w:ind w:firstLine="640"/>
        <w:rPr>
          <w:rFonts w:ascii="Times New Roman" w:hAnsi="Times New Roman" w:eastAsia="楷体_GB2312"/>
          <w:b w:val="0"/>
          <w:bCs w:val="0"/>
        </w:rPr>
      </w:pPr>
      <w:bookmarkStart w:id="90" w:name="_Toc94109621"/>
      <w:r>
        <w:rPr>
          <w:rFonts w:ascii="Times New Roman" w:hAnsi="Times New Roman" w:eastAsia="楷体_GB2312"/>
          <w:b w:val="0"/>
          <w:bCs w:val="0"/>
        </w:rPr>
        <w:t>（四）区室创新产业化合作工程</w:t>
      </w:r>
      <w:bookmarkEnd w:id="90"/>
    </w:p>
    <w:p>
      <w:pPr>
        <w:pStyle w:val="7"/>
        <w:spacing w:line="600" w:lineRule="exact"/>
        <w:ind w:firstLine="640"/>
        <w:rPr>
          <w:rFonts w:cs="Times New Roman"/>
        </w:rPr>
      </w:pPr>
      <w:r>
        <w:rPr>
          <w:rFonts w:cs="Times New Roman"/>
        </w:rPr>
        <w:t>深化与浙江大学、阿里巴巴集团等的战略合作，充分挖掘之江实验室、湖畔实验室、良渚实验室等“金矿”，加快推动基础技术、应用技术向产业化延伸。在建设完善重大科技基础设施集群的基础上，探索建立基于物联网技术的科研仪器设备开放共享机制，重点加快推动一批“国字号”技术创新中心、产业创新中心、制造业创新中心建设，建立一批混合所有制的新型研发机构，探索开展“之江+”、“湖畔+”、“良渚+”等专业新型研发机构和专业园区建设，促进创新成果落地。力争到2025年，取得20项填补空白、引领未来发展的重大科技成果，培育一批高端新型研发机构，打造5家以上联合建设的专业化园区。</w:t>
      </w:r>
    </w:p>
    <w:p>
      <w:pPr>
        <w:pStyle w:val="3"/>
        <w:ind w:firstLine="640"/>
        <w:rPr>
          <w:rFonts w:ascii="Times New Roman" w:hAnsi="Times New Roman" w:eastAsia="楷体_GB2312"/>
          <w:b w:val="0"/>
          <w:bCs w:val="0"/>
        </w:rPr>
      </w:pPr>
      <w:bookmarkStart w:id="91" w:name="_Toc94109622"/>
      <w:r>
        <w:rPr>
          <w:rFonts w:ascii="Times New Roman" w:hAnsi="Times New Roman" w:eastAsia="楷体_GB2312"/>
          <w:b w:val="0"/>
          <w:bCs w:val="0"/>
        </w:rPr>
        <w:t>（五）龙头数字总部引育工程</w:t>
      </w:r>
      <w:bookmarkEnd w:id="91"/>
    </w:p>
    <w:p>
      <w:pPr>
        <w:pStyle w:val="7"/>
        <w:spacing w:line="600" w:lineRule="exact"/>
        <w:ind w:firstLine="640"/>
        <w:rPr>
          <w:rFonts w:cs="Times New Roman"/>
        </w:rPr>
      </w:pPr>
      <w:r>
        <w:rPr>
          <w:rFonts w:cs="Times New Roman"/>
        </w:rPr>
        <w:t>充分发挥余杭数字经济、创新人才集聚优势，重点面向长三角地区制造业龙头企业以及国际国内制造业500强，</w:t>
      </w:r>
      <w:r>
        <w:rPr>
          <w:rFonts w:cs="Times New Roman"/>
          <w:color w:val="000000"/>
        </w:rPr>
        <w:t>发挥海内外重点城市招商中心、人才驿站作用，</w:t>
      </w:r>
      <w:r>
        <w:rPr>
          <w:rFonts w:cs="Times New Roman"/>
        </w:rPr>
        <w:t>建立靶向招商清单，支持企业在余杭落地数字总部，加强在技术创新、人才培育、空间落位、算力支持等方面的扶持，优化提升余杭的制造业属性和数字属性，打造新一批大企业大集团。力争到2025年，累计引入培育30家以上龙头企业数字总部。</w:t>
      </w:r>
    </w:p>
    <w:p>
      <w:pPr>
        <w:pStyle w:val="3"/>
        <w:ind w:firstLine="640"/>
        <w:rPr>
          <w:rFonts w:ascii="Times New Roman" w:hAnsi="Times New Roman" w:eastAsia="楷体_GB2312"/>
          <w:b w:val="0"/>
          <w:bCs w:val="0"/>
        </w:rPr>
      </w:pPr>
      <w:bookmarkStart w:id="92" w:name="_Toc94109623"/>
      <w:r>
        <w:rPr>
          <w:rFonts w:ascii="Times New Roman" w:hAnsi="Times New Roman" w:eastAsia="楷体_GB2312"/>
          <w:b w:val="0"/>
          <w:bCs w:val="0"/>
        </w:rPr>
        <w:t>（六）新生代骨干企业扎根工程</w:t>
      </w:r>
      <w:bookmarkEnd w:id="92"/>
    </w:p>
    <w:p>
      <w:pPr>
        <w:pStyle w:val="7"/>
        <w:spacing w:line="600" w:lineRule="exact"/>
        <w:ind w:firstLine="640"/>
        <w:rPr>
          <w:rFonts w:cs="Times New Roman"/>
        </w:rPr>
      </w:pPr>
      <w:r>
        <w:rPr>
          <w:rFonts w:cs="Times New Roman"/>
        </w:rPr>
        <w:t>以在余杭孵化加速、即将“破茧成蝶”的新兴产业优质企业为重点，建立新生代骨干企业培育库，结合“E企成长”平台应用，加强企业运行情况动态监测，建立企业成长力评估模型，优先支持增补进“双百”重点企业中成长型优势企业培育清单，对企业规模上档进行分梯次奖励。在企业有产业化项目实施需求时，争取率先到现场服务，加强土地、能源、环保等要素保障。力争到2025年，累计帮扶超500家企业制造落地在余杭，新培育成长型优势企业100家。</w:t>
      </w:r>
    </w:p>
    <w:p>
      <w:pPr>
        <w:pStyle w:val="3"/>
        <w:ind w:firstLine="640"/>
        <w:rPr>
          <w:rFonts w:ascii="Times New Roman" w:hAnsi="Times New Roman" w:eastAsia="楷体_GB2312"/>
          <w:b w:val="0"/>
          <w:bCs w:val="0"/>
        </w:rPr>
      </w:pPr>
      <w:bookmarkStart w:id="93" w:name="_Toc94109624"/>
      <w:r>
        <w:rPr>
          <w:rFonts w:ascii="Times New Roman" w:hAnsi="Times New Roman" w:eastAsia="楷体_GB2312"/>
          <w:b w:val="0"/>
          <w:bCs w:val="0"/>
        </w:rPr>
        <w:t>（七）新型工厂培育工程</w:t>
      </w:r>
      <w:bookmarkEnd w:id="93"/>
    </w:p>
    <w:p>
      <w:pPr>
        <w:spacing w:line="600" w:lineRule="exact"/>
        <w:ind w:firstLine="640"/>
      </w:pPr>
      <w:r>
        <w:t>推动余杭制造向“更强、更广、更精”发展，重点打造三类新型工厂。更高更强地培育“未来工厂”，以省市培育方向为重点，聚焦“设施互联、系统互通、数据互享、产业互融”，探索5G、人工智能、工业互联网、数字孪生等前沿技术在制造业研发设计、生产制造、供应链协同、服务增值等场景的创新应用，培育若干面向未来制造的标杆工程、争创“灯塔工厂”。更广更新地建设“共享工厂”，深度归集区内集成电路、5G物联网、智能</w:t>
      </w:r>
      <w:r>
        <w:rPr>
          <w:rFonts w:hint="eastAsia"/>
        </w:rPr>
        <w:t>硬件</w:t>
      </w:r>
      <w:r>
        <w:t>等制造企业对产业链环节的共性需求，确定工业用地具体空间落位，加快建设智能硬件快速打样、芯片流片、电子产品检验检测、3D生物打印、电镀等共享生产线和工厂，打造共享制造服务平台。更集约更生态地探索建设“地下工厂”，结合地下空间开发利用规划，鼓励精密电子元器件、高端新材料等对厂房环境的振动、恒温恒湿有严格要求的企业开展地下工厂建设，引导一般企业环保处理设备、发电设备等“入地下”，提升土地利用容积率。到2025年，培育10家以上新型工厂，在三类新型工厂建设上走在全国前列、全省领先水平。</w:t>
      </w:r>
    </w:p>
    <w:p>
      <w:pPr>
        <w:pStyle w:val="3"/>
        <w:ind w:firstLine="640"/>
        <w:rPr>
          <w:rFonts w:ascii="Times New Roman" w:hAnsi="Times New Roman" w:eastAsia="楷体_GB2312"/>
          <w:b w:val="0"/>
          <w:bCs w:val="0"/>
        </w:rPr>
      </w:pPr>
      <w:bookmarkStart w:id="94" w:name="_Toc94109625"/>
      <w:r>
        <w:rPr>
          <w:rFonts w:ascii="Times New Roman" w:hAnsi="Times New Roman" w:eastAsia="楷体_GB2312"/>
          <w:b w:val="0"/>
          <w:bCs w:val="0"/>
        </w:rPr>
        <w:t>（八）余杭智造产品推广工程</w:t>
      </w:r>
      <w:bookmarkEnd w:id="94"/>
    </w:p>
    <w:p>
      <w:pPr>
        <w:spacing w:line="600" w:lineRule="exact"/>
        <w:ind w:firstLine="640"/>
      </w:pPr>
      <w:r>
        <w:t>积极推动国家省市各级首台（套）重大技术装备、首版次软件、首批次新材料本地化应用试点示范，搭建“余杭制造”展示平台，完善招标采购政策，优先将区域范围内优质工业产品纳入市政工程等项目建设及公共服务产品采购计划，重点加大余杭智造产品在交通道路建设、园区小区建设改造、城市生态修复等政府投资类大项目上的应用示范力度。落实完善“三首”产品应用保险补偿机制、创新容错机制和考评奖励机制，每年培育发布一批余杭智造优秀产品和应用案例，加强市场推广应用。力争到2025年，培育推广余杭制造“三首”及优秀产品100项以上。</w:t>
      </w:r>
    </w:p>
    <w:p>
      <w:pPr>
        <w:spacing w:line="600" w:lineRule="exact"/>
        <w:ind w:firstLine="640"/>
        <w:outlineLvl w:val="0"/>
        <w:rPr>
          <w:rFonts w:eastAsia="黑体"/>
          <w:bCs/>
          <w:szCs w:val="32"/>
        </w:rPr>
      </w:pPr>
      <w:bookmarkStart w:id="95" w:name="_Toc94109626"/>
      <w:r>
        <w:rPr>
          <w:rFonts w:eastAsia="黑体"/>
          <w:bCs/>
          <w:szCs w:val="32"/>
        </w:rPr>
        <w:t>七、保障措施</w:t>
      </w:r>
      <w:bookmarkEnd w:id="85"/>
      <w:bookmarkEnd w:id="86"/>
      <w:bookmarkEnd w:id="95"/>
    </w:p>
    <w:p>
      <w:pPr>
        <w:spacing w:line="600" w:lineRule="exact"/>
        <w:ind w:firstLine="640"/>
        <w:outlineLvl w:val="1"/>
        <w:rPr>
          <w:rFonts w:eastAsia="楷体_GB2312"/>
          <w:bCs/>
          <w:szCs w:val="32"/>
        </w:rPr>
      </w:pPr>
      <w:bookmarkStart w:id="96" w:name="_Toc53403251"/>
      <w:bookmarkStart w:id="97" w:name="_Toc50385819"/>
      <w:bookmarkStart w:id="98" w:name="_Toc94109627"/>
      <w:r>
        <w:rPr>
          <w:rFonts w:eastAsia="楷体_GB2312"/>
          <w:bCs/>
          <w:szCs w:val="32"/>
        </w:rPr>
        <w:t>（一）加强组织实施</w:t>
      </w:r>
      <w:bookmarkEnd w:id="96"/>
      <w:bookmarkEnd w:id="97"/>
      <w:bookmarkEnd w:id="98"/>
    </w:p>
    <w:p>
      <w:pPr>
        <w:spacing w:line="600" w:lineRule="exact"/>
        <w:ind w:firstLine="640"/>
      </w:pPr>
      <w:r>
        <w:t>充分发挥“新制造业计划”暨省制造业高质量发展示范县（市、区）创建工作领导小组作用，统筹协调余杭区制造业高质量全局性工作，不断加强对本规划实施的组织、协调和督导。健全规划实施的政策协调和工作协同机制，推动全区</w:t>
      </w:r>
      <w:r>
        <w:rPr>
          <w:kern w:val="0"/>
          <w:szCs w:val="32"/>
        </w:rPr>
        <w:t>相关部门、镇街平台</w:t>
      </w:r>
      <w:r>
        <w:t>形成工作合力。加强规划实施事中事后监管和动态监测分析，适时开展中期评估，及时开展工作动态调整，确保规划各项任务落到实处。</w:t>
      </w:r>
    </w:p>
    <w:p>
      <w:pPr>
        <w:spacing w:line="600" w:lineRule="exact"/>
        <w:ind w:firstLine="640"/>
        <w:outlineLvl w:val="1"/>
        <w:rPr>
          <w:rFonts w:eastAsia="楷体_GB2312"/>
          <w:bCs/>
          <w:szCs w:val="32"/>
        </w:rPr>
      </w:pPr>
      <w:bookmarkStart w:id="99" w:name="_Toc50385821"/>
      <w:bookmarkStart w:id="100" w:name="_Toc53403253"/>
      <w:bookmarkStart w:id="101" w:name="_Toc94109628"/>
      <w:bookmarkStart w:id="102" w:name="_Toc53403252"/>
      <w:bookmarkStart w:id="103" w:name="_Toc50385820"/>
      <w:r>
        <w:rPr>
          <w:rFonts w:eastAsia="楷体_GB2312"/>
          <w:bCs/>
          <w:szCs w:val="32"/>
        </w:rPr>
        <w:t>（二）加大政策</w:t>
      </w:r>
      <w:bookmarkEnd w:id="99"/>
      <w:bookmarkEnd w:id="100"/>
      <w:r>
        <w:rPr>
          <w:rFonts w:eastAsia="楷体_GB2312"/>
          <w:bCs/>
          <w:szCs w:val="32"/>
        </w:rPr>
        <w:t>扶持</w:t>
      </w:r>
      <w:bookmarkEnd w:id="101"/>
    </w:p>
    <w:p>
      <w:pPr>
        <w:spacing w:line="600" w:lineRule="exact"/>
        <w:ind w:firstLine="640"/>
      </w:pPr>
      <w:r>
        <w:t>加快余杭区全域创新政策和制造业高质量发展政策的制定与更新，统筹用好省制造业高质量发展示范县（市、区）创建财政专项激励资金，积极争取国家、省、市资金支持，强化区级资金配套，加大对制造业高质量发展的财政支持力度。加大对制造业重大项目、重点平台的财税支持，优先保障产业链协同创新项目、重大基础设施、公共服务平台等的资金需求。</w:t>
      </w:r>
    </w:p>
    <w:p>
      <w:pPr>
        <w:spacing w:line="600" w:lineRule="exact"/>
        <w:ind w:firstLine="640"/>
        <w:outlineLvl w:val="1"/>
        <w:rPr>
          <w:rFonts w:eastAsia="楷体_GB2312"/>
          <w:bCs/>
          <w:szCs w:val="32"/>
        </w:rPr>
      </w:pPr>
      <w:bookmarkStart w:id="104" w:name="_Toc94109629"/>
      <w:r>
        <w:rPr>
          <w:rFonts w:eastAsia="楷体_GB2312"/>
          <w:bCs/>
          <w:szCs w:val="32"/>
        </w:rPr>
        <w:t>（三）强化要素保障</w:t>
      </w:r>
      <w:bookmarkEnd w:id="102"/>
      <w:bookmarkEnd w:id="103"/>
      <w:bookmarkEnd w:id="104"/>
    </w:p>
    <w:p>
      <w:pPr>
        <w:spacing w:line="600" w:lineRule="exact"/>
        <w:ind w:firstLine="640"/>
      </w:pPr>
      <w:r>
        <w:t>以亩均效益为导向，探索“腾笼换鸟、凤凰涅</w:t>
      </w:r>
      <w:r>
        <w:rPr>
          <w:rFonts w:eastAsia="仿宋"/>
          <w:color w:val="000000"/>
          <w:szCs w:val="32"/>
        </w:rPr>
        <w:t>槃</w:t>
      </w:r>
      <w:r>
        <w:rPr>
          <w:color w:val="000000"/>
          <w:szCs w:val="32"/>
        </w:rPr>
        <w:t>”</w:t>
      </w:r>
      <w:r>
        <w:t>新路径，支持土地用途兼容复合利用，探索增加混合产业用地供给，推动不同产业用地类型合理转换，健全工业用地出让全生命周期管理。大力实施工业园区道路形象提升、通信网络优化、排污设施建设、水电气能源供应保障等基础设施改造项目；建立节水激励机制，鼓励工业园区加大对非常规水源的利用。建设工业固废与城市固废协同处置设施，开展工业资源综合利用。</w:t>
      </w:r>
    </w:p>
    <w:p>
      <w:pPr>
        <w:spacing w:line="600" w:lineRule="exact"/>
        <w:ind w:firstLine="640"/>
        <w:outlineLvl w:val="1"/>
        <w:rPr>
          <w:rFonts w:eastAsia="楷体_GB2312"/>
          <w:bCs/>
          <w:szCs w:val="32"/>
        </w:rPr>
      </w:pPr>
      <w:bookmarkStart w:id="105" w:name="_Toc50385822"/>
      <w:bookmarkStart w:id="106" w:name="_Toc53403254"/>
      <w:bookmarkStart w:id="107" w:name="_Toc94109630"/>
      <w:r>
        <w:rPr>
          <w:rFonts w:eastAsia="楷体_GB2312"/>
          <w:bCs/>
          <w:szCs w:val="32"/>
        </w:rPr>
        <w:t>（四）深化改革创新</w:t>
      </w:r>
      <w:bookmarkEnd w:id="105"/>
      <w:bookmarkEnd w:id="106"/>
      <w:bookmarkEnd w:id="107"/>
    </w:p>
    <w:p>
      <w:pPr>
        <w:spacing w:line="600" w:lineRule="exact"/>
        <w:ind w:firstLine="640"/>
      </w:pPr>
      <w:r>
        <w:t>全面贯彻落实省委省政府全面推进数字化改革的重大工作部署，争当全省数字经济系统建设先试先行高地，不断提升对制造业领域的数字赋能能力。实施余杭区数字化改革应用场景攻坚行动，加快推进“创景计划”，</w:t>
      </w:r>
      <w:r>
        <w:rPr>
          <w:szCs w:val="32"/>
        </w:rPr>
        <w:t>以改革破题打破业务瓶颈，重塑业务流程，建设落实一批重大多跨应用场景，为推动</w:t>
      </w:r>
      <w:r>
        <w:t>制造业高质量发展、建设共同富裕示范先行区提供有力支撑。</w:t>
      </w: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287" w:usb1="080F0000" w:usb2="00000010" w:usb3="00000000" w:csb0="000400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0" w:firstLineChars="0"/>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ind w:firstLine="640"/>
    </w:pPr>
    <w:r>
      <w:rPr>
        <w:rFonts w:ascii="Times New Roman" w:hAnsi="Times New Roman" w:eastAsia="仿宋_GB2312" w:cs="Times New Roman"/>
        <w:kern w:val="2"/>
        <w:sz w:val="32"/>
        <w:szCs w:val="24"/>
        <w:lang w:val="en-US" w:eastAsia="zh-CN" w:bidi="ar-SA"/>
      </w:rPr>
      <w:pict>
        <v:shape id="文本框 14" o:spid="_x0000_s1025" type="#_x0000_t202" style="position:absolute;left:0;margin-top:0pt;height:144pt;width:144pt;mso-position-horizontal:inside;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ind w:firstLine="56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23"/>
        <w:ind w:firstLine="360"/>
      </w:pPr>
      <w:r>
        <w:rPr>
          <w:rStyle w:val="34"/>
        </w:rPr>
        <w:footnoteRef/>
      </w:r>
      <w:r>
        <w:t xml:space="preserve"> </w:t>
      </w:r>
      <w:r>
        <w:rPr>
          <w:rFonts w:hint="eastAsia"/>
        </w:rPr>
        <w:t>*号为2</w:t>
      </w:r>
      <w:r>
        <w:t>019</w:t>
      </w:r>
      <w:r>
        <w:rPr>
          <w:rFonts w:hint="eastAsia"/>
        </w:rPr>
        <w:t>年数据。</w:t>
      </w:r>
    </w:p>
  </w:footnote>
  <w:footnote w:id="1">
    <w:p>
      <w:pPr>
        <w:pStyle w:val="23"/>
        <w:spacing w:line="240" w:lineRule="auto"/>
        <w:ind w:firstLine="360"/>
      </w:pPr>
      <w:r>
        <w:rPr>
          <w:rStyle w:val="34"/>
        </w:rPr>
        <w:footnoteRef/>
      </w:r>
      <w:r>
        <w:t xml:space="preserve"> </w:t>
      </w:r>
      <w:r>
        <w:rPr>
          <w:rFonts w:hint="eastAsia"/>
          <w:color w:val="000000"/>
          <w:szCs w:val="18"/>
        </w:rPr>
        <w:t>2</w:t>
      </w:r>
      <w:r>
        <w:rPr>
          <w:color w:val="000000"/>
          <w:szCs w:val="18"/>
        </w:rPr>
        <w:t>019</w:t>
      </w:r>
      <w:r>
        <w:rPr>
          <w:rFonts w:hint="eastAsia"/>
          <w:color w:val="000000"/>
          <w:szCs w:val="18"/>
        </w:rPr>
        <w:t>年原余杭区数据</w:t>
      </w:r>
    </w:p>
  </w:footnote>
  <w:footnote w:id="2">
    <w:p>
      <w:pPr>
        <w:pStyle w:val="23"/>
        <w:spacing w:line="240" w:lineRule="auto"/>
        <w:ind w:firstLine="360"/>
      </w:pPr>
      <w:r>
        <w:rPr>
          <w:rStyle w:val="34"/>
        </w:rPr>
        <w:footnoteRef/>
      </w:r>
      <w:r>
        <w:t xml:space="preserve"> </w:t>
      </w:r>
      <w:r>
        <w:rPr>
          <w:rFonts w:hint="eastAsia"/>
        </w:rPr>
        <w:t>2</w:t>
      </w:r>
      <w:r>
        <w:t>020</w:t>
      </w:r>
      <w:r>
        <w:rPr>
          <w:rFonts w:hint="eastAsia"/>
        </w:rPr>
        <w:t>年原余杭区数据</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9"/>
      <w:pBdr>
        <w:bottom w:val="none" w:color="auto" w:sz="0" w:space="1"/>
      </w:pBdr>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80696186">
    <w:nsid w:val="3A743C7A"/>
    <w:multiLevelType w:val="multilevel"/>
    <w:tmpl w:val="3A743C7A"/>
    <w:lvl w:ilvl="0" w:tentative="1">
      <w:start w:val="1"/>
      <w:numFmt w:val="decimal"/>
      <w:pStyle w:val="4"/>
      <w:lvlText w:val="%1."/>
      <w:lvlJc w:val="left"/>
      <w:pPr>
        <w:ind w:left="1022" w:hanging="420"/>
      </w:pPr>
    </w:lvl>
    <w:lvl w:ilvl="1" w:tentative="1">
      <w:start w:val="1"/>
      <w:numFmt w:val="lowerLetter"/>
      <w:lvlText w:val="%2)"/>
      <w:lvlJc w:val="left"/>
      <w:pPr>
        <w:ind w:left="1442" w:hanging="420"/>
      </w:pPr>
    </w:lvl>
    <w:lvl w:ilvl="2" w:tentative="1">
      <w:start w:val="1"/>
      <w:numFmt w:val="lowerRoman"/>
      <w:lvlText w:val="%3."/>
      <w:lvlJc w:val="right"/>
      <w:pPr>
        <w:ind w:left="1862" w:hanging="420"/>
      </w:pPr>
    </w:lvl>
    <w:lvl w:ilvl="3" w:tentative="1">
      <w:start w:val="1"/>
      <w:numFmt w:val="decimal"/>
      <w:lvlText w:val="%4."/>
      <w:lvlJc w:val="left"/>
      <w:pPr>
        <w:ind w:left="2282" w:hanging="420"/>
      </w:pPr>
    </w:lvl>
    <w:lvl w:ilvl="4" w:tentative="1">
      <w:start w:val="1"/>
      <w:numFmt w:val="lowerLetter"/>
      <w:lvlText w:val="%5)"/>
      <w:lvlJc w:val="left"/>
      <w:pPr>
        <w:ind w:left="2702" w:hanging="420"/>
      </w:pPr>
    </w:lvl>
    <w:lvl w:ilvl="5" w:tentative="1">
      <w:start w:val="1"/>
      <w:numFmt w:val="lowerRoman"/>
      <w:lvlText w:val="%6."/>
      <w:lvlJc w:val="right"/>
      <w:pPr>
        <w:ind w:left="3122" w:hanging="420"/>
      </w:pPr>
    </w:lvl>
    <w:lvl w:ilvl="6" w:tentative="1">
      <w:start w:val="1"/>
      <w:numFmt w:val="decimal"/>
      <w:lvlText w:val="%7."/>
      <w:lvlJc w:val="left"/>
      <w:pPr>
        <w:ind w:left="3542" w:hanging="420"/>
      </w:pPr>
    </w:lvl>
    <w:lvl w:ilvl="7" w:tentative="1">
      <w:start w:val="1"/>
      <w:numFmt w:val="lowerLetter"/>
      <w:lvlText w:val="%8)"/>
      <w:lvlJc w:val="left"/>
      <w:pPr>
        <w:ind w:left="3962" w:hanging="420"/>
      </w:pPr>
    </w:lvl>
    <w:lvl w:ilvl="8" w:tentative="1">
      <w:start w:val="1"/>
      <w:numFmt w:val="lowerRoman"/>
      <w:lvlText w:val="%9."/>
      <w:lvlJc w:val="right"/>
      <w:pPr>
        <w:ind w:left="4382" w:hanging="420"/>
      </w:pPr>
    </w:lvl>
  </w:abstractNum>
  <w:abstractNum w:abstractNumId="1608114389">
    <w:nsid w:val="5FD9E0D5"/>
    <w:multiLevelType w:val="singleLevel"/>
    <w:tmpl w:val="5FD9E0D5"/>
    <w:lvl w:ilvl="0" w:tentative="1">
      <w:start w:val="1"/>
      <w:numFmt w:val="decimal"/>
      <w:pStyle w:val="41"/>
      <w:suff w:val="nothing"/>
      <w:lvlText w:val="%1."/>
      <w:lvlJc w:val="left"/>
      <w:pPr>
        <w:tabs>
          <w:tab w:val="left" w:pos="0"/>
        </w:tabs>
      </w:pPr>
      <w:rPr>
        <w:rFonts w:hint="default" w:eastAsia="仿宋_GB2312" w:cs="Times New Roman"/>
        <w:b/>
        <w:bCs/>
        <w:sz w:val="32"/>
        <w:szCs w:val="32"/>
      </w:rPr>
    </w:lvl>
  </w:abstractNum>
  <w:abstractNum w:abstractNumId="1608114172">
    <w:nsid w:val="5FD9DFFC"/>
    <w:multiLevelType w:val="singleLevel"/>
    <w:tmpl w:val="5FD9DFFC"/>
    <w:lvl w:ilvl="0" w:tentative="1">
      <w:start w:val="1"/>
      <w:numFmt w:val="decimal"/>
      <w:pStyle w:val="39"/>
      <w:suff w:val="nothing"/>
      <w:lvlText w:val="%1."/>
      <w:lvlJc w:val="left"/>
      <w:pPr>
        <w:tabs>
          <w:tab w:val="left" w:pos="0"/>
        </w:tabs>
      </w:pPr>
      <w:rPr>
        <w:rFonts w:hint="default" w:eastAsia="楷体_GB2312" w:cs="Times New Roman"/>
        <w:b/>
        <w:bCs/>
        <w:sz w:val="32"/>
        <w:szCs w:val="32"/>
      </w:rPr>
    </w:lvl>
  </w:abstractNum>
  <w:abstractNum w:abstractNumId="1608114121">
    <w:nsid w:val="5FD9DFC9"/>
    <w:multiLevelType w:val="singleLevel"/>
    <w:tmpl w:val="5FD9DFC9"/>
    <w:lvl w:ilvl="0" w:tentative="1">
      <w:start w:val="1"/>
      <w:numFmt w:val="chineseCounting"/>
      <w:pStyle w:val="59"/>
      <w:suff w:val="nothing"/>
      <w:lvlText w:val="%1、"/>
      <w:lvlJc w:val="left"/>
      <w:pPr>
        <w:tabs>
          <w:tab w:val="left" w:pos="0"/>
        </w:tabs>
        <w:ind w:left="0" w:firstLine="637"/>
      </w:pPr>
      <w:rPr>
        <w:rFonts w:hint="eastAsia" w:eastAsia="黑体" w:cs="Times New Roman"/>
        <w:sz w:val="32"/>
        <w:szCs w:val="32"/>
      </w:rPr>
    </w:lvl>
  </w:abstractNum>
  <w:abstractNum w:abstractNumId="2085292815">
    <w:nsid w:val="7C4B0B0F"/>
    <w:multiLevelType w:val="multilevel"/>
    <w:tmpl w:val="7C4B0B0F"/>
    <w:lvl w:ilvl="0" w:tentative="1">
      <w:start w:val="1"/>
      <w:numFmt w:val="chineseCountingThousand"/>
      <w:pStyle w:val="2"/>
      <w:lvlText w:val="%1、"/>
      <w:lvlJc w:val="left"/>
      <w:pPr>
        <w:ind w:left="198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85292815"/>
  </w:num>
  <w:num w:numId="2">
    <w:abstractNumId w:val="980696186"/>
  </w:num>
  <w:num w:numId="3">
    <w:abstractNumId w:val="1608114172"/>
  </w:num>
  <w:num w:numId="4">
    <w:abstractNumId w:val="1608114389"/>
  </w:num>
  <w:num w:numId="5">
    <w:abstractNumId w:val="16081141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rawingGridHorizontalSpacing w:val="160"/>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42A12"/>
    <w:rsid w:val="000007D1"/>
    <w:rsid w:val="0000387B"/>
    <w:rsid w:val="0000624A"/>
    <w:rsid w:val="00006667"/>
    <w:rsid w:val="00006C3C"/>
    <w:rsid w:val="00006DE3"/>
    <w:rsid w:val="00010678"/>
    <w:rsid w:val="00011159"/>
    <w:rsid w:val="000144CC"/>
    <w:rsid w:val="000178EF"/>
    <w:rsid w:val="000203EC"/>
    <w:rsid w:val="000204C8"/>
    <w:rsid w:val="000204FD"/>
    <w:rsid w:val="0002161D"/>
    <w:rsid w:val="00024167"/>
    <w:rsid w:val="000253AD"/>
    <w:rsid w:val="000258E0"/>
    <w:rsid w:val="000278E9"/>
    <w:rsid w:val="00031E38"/>
    <w:rsid w:val="000353AE"/>
    <w:rsid w:val="00037352"/>
    <w:rsid w:val="0003767A"/>
    <w:rsid w:val="000376CC"/>
    <w:rsid w:val="00037CE5"/>
    <w:rsid w:val="00037E38"/>
    <w:rsid w:val="00042A12"/>
    <w:rsid w:val="0004351E"/>
    <w:rsid w:val="0004630E"/>
    <w:rsid w:val="00046431"/>
    <w:rsid w:val="000501C6"/>
    <w:rsid w:val="00050ABB"/>
    <w:rsid w:val="000534F4"/>
    <w:rsid w:val="00055F63"/>
    <w:rsid w:val="00056905"/>
    <w:rsid w:val="000575E2"/>
    <w:rsid w:val="0006015F"/>
    <w:rsid w:val="000602D0"/>
    <w:rsid w:val="00060FE6"/>
    <w:rsid w:val="000625AE"/>
    <w:rsid w:val="00064E7B"/>
    <w:rsid w:val="00065A6C"/>
    <w:rsid w:val="00067374"/>
    <w:rsid w:val="00070EFA"/>
    <w:rsid w:val="00071BFC"/>
    <w:rsid w:val="00073683"/>
    <w:rsid w:val="00073BA5"/>
    <w:rsid w:val="000742E7"/>
    <w:rsid w:val="00074517"/>
    <w:rsid w:val="00074EEF"/>
    <w:rsid w:val="0008202D"/>
    <w:rsid w:val="000838B0"/>
    <w:rsid w:val="0008463C"/>
    <w:rsid w:val="00086745"/>
    <w:rsid w:val="000877FB"/>
    <w:rsid w:val="00090E6F"/>
    <w:rsid w:val="00092A7D"/>
    <w:rsid w:val="00093390"/>
    <w:rsid w:val="00094EB8"/>
    <w:rsid w:val="00095481"/>
    <w:rsid w:val="000966E5"/>
    <w:rsid w:val="00096831"/>
    <w:rsid w:val="00097261"/>
    <w:rsid w:val="000979BB"/>
    <w:rsid w:val="000A096F"/>
    <w:rsid w:val="000A1225"/>
    <w:rsid w:val="000A1B94"/>
    <w:rsid w:val="000A24B2"/>
    <w:rsid w:val="000A3A19"/>
    <w:rsid w:val="000A5E9F"/>
    <w:rsid w:val="000A604B"/>
    <w:rsid w:val="000B2937"/>
    <w:rsid w:val="000B2C68"/>
    <w:rsid w:val="000B37D2"/>
    <w:rsid w:val="000B4915"/>
    <w:rsid w:val="000B4D12"/>
    <w:rsid w:val="000B514F"/>
    <w:rsid w:val="000B5AC2"/>
    <w:rsid w:val="000B7724"/>
    <w:rsid w:val="000C053E"/>
    <w:rsid w:val="000C0BE7"/>
    <w:rsid w:val="000C79FC"/>
    <w:rsid w:val="000D01A9"/>
    <w:rsid w:val="000D0AA7"/>
    <w:rsid w:val="000D17F1"/>
    <w:rsid w:val="000D293B"/>
    <w:rsid w:val="000D32BC"/>
    <w:rsid w:val="000D3CA8"/>
    <w:rsid w:val="000D5626"/>
    <w:rsid w:val="000D6737"/>
    <w:rsid w:val="000E00CA"/>
    <w:rsid w:val="000E01F2"/>
    <w:rsid w:val="000E065B"/>
    <w:rsid w:val="000E0D50"/>
    <w:rsid w:val="000E1B1D"/>
    <w:rsid w:val="000E5041"/>
    <w:rsid w:val="000E5D4A"/>
    <w:rsid w:val="000E6801"/>
    <w:rsid w:val="000E7148"/>
    <w:rsid w:val="000E7878"/>
    <w:rsid w:val="000E7ECA"/>
    <w:rsid w:val="000F0BD3"/>
    <w:rsid w:val="000F4E6E"/>
    <w:rsid w:val="000F6481"/>
    <w:rsid w:val="000F6FD9"/>
    <w:rsid w:val="00102076"/>
    <w:rsid w:val="00102C2B"/>
    <w:rsid w:val="00103239"/>
    <w:rsid w:val="00103AF3"/>
    <w:rsid w:val="00105898"/>
    <w:rsid w:val="0010722D"/>
    <w:rsid w:val="00110331"/>
    <w:rsid w:val="0011035B"/>
    <w:rsid w:val="001109FD"/>
    <w:rsid w:val="001131C3"/>
    <w:rsid w:val="00114D19"/>
    <w:rsid w:val="00115B31"/>
    <w:rsid w:val="00117094"/>
    <w:rsid w:val="00117747"/>
    <w:rsid w:val="0012086D"/>
    <w:rsid w:val="00122691"/>
    <w:rsid w:val="001228EA"/>
    <w:rsid w:val="00123DF7"/>
    <w:rsid w:val="00125670"/>
    <w:rsid w:val="00126179"/>
    <w:rsid w:val="00126964"/>
    <w:rsid w:val="001276AF"/>
    <w:rsid w:val="00127D0C"/>
    <w:rsid w:val="001306F2"/>
    <w:rsid w:val="00134D88"/>
    <w:rsid w:val="001419C0"/>
    <w:rsid w:val="00142DEF"/>
    <w:rsid w:val="00143205"/>
    <w:rsid w:val="00144133"/>
    <w:rsid w:val="0014509F"/>
    <w:rsid w:val="0014615B"/>
    <w:rsid w:val="00150FA4"/>
    <w:rsid w:val="00152F7B"/>
    <w:rsid w:val="00153B80"/>
    <w:rsid w:val="00160198"/>
    <w:rsid w:val="00161113"/>
    <w:rsid w:val="0016224F"/>
    <w:rsid w:val="00162AEB"/>
    <w:rsid w:val="001709C6"/>
    <w:rsid w:val="001709EF"/>
    <w:rsid w:val="001717C0"/>
    <w:rsid w:val="001740BC"/>
    <w:rsid w:val="00174966"/>
    <w:rsid w:val="00174EC2"/>
    <w:rsid w:val="001802A8"/>
    <w:rsid w:val="001805AA"/>
    <w:rsid w:val="00181E61"/>
    <w:rsid w:val="001825D3"/>
    <w:rsid w:val="001842DD"/>
    <w:rsid w:val="00185049"/>
    <w:rsid w:val="0018534D"/>
    <w:rsid w:val="001857FB"/>
    <w:rsid w:val="00187786"/>
    <w:rsid w:val="00187B3F"/>
    <w:rsid w:val="00187D64"/>
    <w:rsid w:val="00190A8D"/>
    <w:rsid w:val="00191455"/>
    <w:rsid w:val="0019238B"/>
    <w:rsid w:val="001924CA"/>
    <w:rsid w:val="00192524"/>
    <w:rsid w:val="00192913"/>
    <w:rsid w:val="00193806"/>
    <w:rsid w:val="00194970"/>
    <w:rsid w:val="00194C2F"/>
    <w:rsid w:val="0019705B"/>
    <w:rsid w:val="00197D63"/>
    <w:rsid w:val="001A15F7"/>
    <w:rsid w:val="001A19EE"/>
    <w:rsid w:val="001A2DE5"/>
    <w:rsid w:val="001A2F40"/>
    <w:rsid w:val="001A3A1D"/>
    <w:rsid w:val="001A3DFF"/>
    <w:rsid w:val="001A4C31"/>
    <w:rsid w:val="001A5B44"/>
    <w:rsid w:val="001A632C"/>
    <w:rsid w:val="001A6A7C"/>
    <w:rsid w:val="001B2D9E"/>
    <w:rsid w:val="001B5DF2"/>
    <w:rsid w:val="001B6D12"/>
    <w:rsid w:val="001C035F"/>
    <w:rsid w:val="001C0677"/>
    <w:rsid w:val="001C0812"/>
    <w:rsid w:val="001C0A6C"/>
    <w:rsid w:val="001C1892"/>
    <w:rsid w:val="001C1916"/>
    <w:rsid w:val="001C3441"/>
    <w:rsid w:val="001C5105"/>
    <w:rsid w:val="001C56D6"/>
    <w:rsid w:val="001C6950"/>
    <w:rsid w:val="001D1E9B"/>
    <w:rsid w:val="001D222F"/>
    <w:rsid w:val="001D3254"/>
    <w:rsid w:val="001D3A95"/>
    <w:rsid w:val="001D423B"/>
    <w:rsid w:val="001D6B58"/>
    <w:rsid w:val="001D7687"/>
    <w:rsid w:val="001D7F34"/>
    <w:rsid w:val="001E003B"/>
    <w:rsid w:val="001E02DB"/>
    <w:rsid w:val="001E0EBE"/>
    <w:rsid w:val="001E1B76"/>
    <w:rsid w:val="001E1FCB"/>
    <w:rsid w:val="001E5149"/>
    <w:rsid w:val="001F0A87"/>
    <w:rsid w:val="001F113B"/>
    <w:rsid w:val="001F339D"/>
    <w:rsid w:val="001F483E"/>
    <w:rsid w:val="001F4E51"/>
    <w:rsid w:val="001F5BDD"/>
    <w:rsid w:val="001F73A8"/>
    <w:rsid w:val="00200311"/>
    <w:rsid w:val="0020162C"/>
    <w:rsid w:val="00201EE3"/>
    <w:rsid w:val="002023AD"/>
    <w:rsid w:val="002033F8"/>
    <w:rsid w:val="00210311"/>
    <w:rsid w:val="00211D8A"/>
    <w:rsid w:val="00211FB0"/>
    <w:rsid w:val="0021229A"/>
    <w:rsid w:val="00212B4A"/>
    <w:rsid w:val="002147C5"/>
    <w:rsid w:val="0021613D"/>
    <w:rsid w:val="00216BD6"/>
    <w:rsid w:val="00217653"/>
    <w:rsid w:val="0021793B"/>
    <w:rsid w:val="00220BC0"/>
    <w:rsid w:val="002227E5"/>
    <w:rsid w:val="00223174"/>
    <w:rsid w:val="0022353D"/>
    <w:rsid w:val="0022558B"/>
    <w:rsid w:val="00225D75"/>
    <w:rsid w:val="002263CA"/>
    <w:rsid w:val="002269A2"/>
    <w:rsid w:val="002327CD"/>
    <w:rsid w:val="00232E7B"/>
    <w:rsid w:val="00235167"/>
    <w:rsid w:val="002362B9"/>
    <w:rsid w:val="00237328"/>
    <w:rsid w:val="0023790F"/>
    <w:rsid w:val="002408C5"/>
    <w:rsid w:val="00240B6C"/>
    <w:rsid w:val="00243550"/>
    <w:rsid w:val="002437CD"/>
    <w:rsid w:val="00245013"/>
    <w:rsid w:val="00245E71"/>
    <w:rsid w:val="00246A75"/>
    <w:rsid w:val="00247F6B"/>
    <w:rsid w:val="0025019D"/>
    <w:rsid w:val="00251B44"/>
    <w:rsid w:val="002541FA"/>
    <w:rsid w:val="00254993"/>
    <w:rsid w:val="00256098"/>
    <w:rsid w:val="00257C75"/>
    <w:rsid w:val="00262BD1"/>
    <w:rsid w:val="002630E9"/>
    <w:rsid w:val="0026527E"/>
    <w:rsid w:val="00267664"/>
    <w:rsid w:val="0027009F"/>
    <w:rsid w:val="0027020A"/>
    <w:rsid w:val="002719F6"/>
    <w:rsid w:val="00273118"/>
    <w:rsid w:val="00273EB7"/>
    <w:rsid w:val="00277734"/>
    <w:rsid w:val="00277910"/>
    <w:rsid w:val="002801D9"/>
    <w:rsid w:val="002805E6"/>
    <w:rsid w:val="00280A98"/>
    <w:rsid w:val="00284309"/>
    <w:rsid w:val="00284465"/>
    <w:rsid w:val="00290FC0"/>
    <w:rsid w:val="00293003"/>
    <w:rsid w:val="0029387A"/>
    <w:rsid w:val="00295D96"/>
    <w:rsid w:val="0029642C"/>
    <w:rsid w:val="0029766D"/>
    <w:rsid w:val="002A1338"/>
    <w:rsid w:val="002A179A"/>
    <w:rsid w:val="002A278E"/>
    <w:rsid w:val="002A2E26"/>
    <w:rsid w:val="002A31DF"/>
    <w:rsid w:val="002A6E9B"/>
    <w:rsid w:val="002B0331"/>
    <w:rsid w:val="002B0C98"/>
    <w:rsid w:val="002B3484"/>
    <w:rsid w:val="002B5E94"/>
    <w:rsid w:val="002C4E87"/>
    <w:rsid w:val="002C5E70"/>
    <w:rsid w:val="002C75AC"/>
    <w:rsid w:val="002C76A9"/>
    <w:rsid w:val="002D0E21"/>
    <w:rsid w:val="002D0EC2"/>
    <w:rsid w:val="002D1C15"/>
    <w:rsid w:val="002D463F"/>
    <w:rsid w:val="002D7462"/>
    <w:rsid w:val="002D7BBF"/>
    <w:rsid w:val="002E05B5"/>
    <w:rsid w:val="002E3161"/>
    <w:rsid w:val="002E3B5C"/>
    <w:rsid w:val="002E3D06"/>
    <w:rsid w:val="002E6A14"/>
    <w:rsid w:val="002F0666"/>
    <w:rsid w:val="002F3CD4"/>
    <w:rsid w:val="002F6852"/>
    <w:rsid w:val="00303048"/>
    <w:rsid w:val="003048B5"/>
    <w:rsid w:val="00305842"/>
    <w:rsid w:val="0030667C"/>
    <w:rsid w:val="00306E80"/>
    <w:rsid w:val="00311F1D"/>
    <w:rsid w:val="00315696"/>
    <w:rsid w:val="00316C36"/>
    <w:rsid w:val="00320BA7"/>
    <w:rsid w:val="00320C52"/>
    <w:rsid w:val="00322F47"/>
    <w:rsid w:val="003235EC"/>
    <w:rsid w:val="00324C27"/>
    <w:rsid w:val="003267C5"/>
    <w:rsid w:val="00326DE7"/>
    <w:rsid w:val="00327144"/>
    <w:rsid w:val="00327FD0"/>
    <w:rsid w:val="003308F4"/>
    <w:rsid w:val="00333965"/>
    <w:rsid w:val="00333D40"/>
    <w:rsid w:val="00334A78"/>
    <w:rsid w:val="00334D86"/>
    <w:rsid w:val="00336BE1"/>
    <w:rsid w:val="003412AC"/>
    <w:rsid w:val="00341DB1"/>
    <w:rsid w:val="00346627"/>
    <w:rsid w:val="00346819"/>
    <w:rsid w:val="003475EB"/>
    <w:rsid w:val="003502EB"/>
    <w:rsid w:val="00350F8C"/>
    <w:rsid w:val="00351476"/>
    <w:rsid w:val="00351D5D"/>
    <w:rsid w:val="00353058"/>
    <w:rsid w:val="003534B5"/>
    <w:rsid w:val="00353616"/>
    <w:rsid w:val="00353642"/>
    <w:rsid w:val="00353F1C"/>
    <w:rsid w:val="003549FD"/>
    <w:rsid w:val="003573CB"/>
    <w:rsid w:val="00360BA8"/>
    <w:rsid w:val="00360F72"/>
    <w:rsid w:val="003621E2"/>
    <w:rsid w:val="00363109"/>
    <w:rsid w:val="00363E1C"/>
    <w:rsid w:val="003640BE"/>
    <w:rsid w:val="00364A88"/>
    <w:rsid w:val="003651C9"/>
    <w:rsid w:val="00365A47"/>
    <w:rsid w:val="003667DA"/>
    <w:rsid w:val="00373249"/>
    <w:rsid w:val="00373E31"/>
    <w:rsid w:val="00373E36"/>
    <w:rsid w:val="00374AF4"/>
    <w:rsid w:val="003750AF"/>
    <w:rsid w:val="00377589"/>
    <w:rsid w:val="00377889"/>
    <w:rsid w:val="0038416B"/>
    <w:rsid w:val="00385D6A"/>
    <w:rsid w:val="003870D0"/>
    <w:rsid w:val="0038781E"/>
    <w:rsid w:val="00392685"/>
    <w:rsid w:val="00392EDC"/>
    <w:rsid w:val="003959ED"/>
    <w:rsid w:val="0039609C"/>
    <w:rsid w:val="003A0D0F"/>
    <w:rsid w:val="003A4BFF"/>
    <w:rsid w:val="003A53CE"/>
    <w:rsid w:val="003A6F63"/>
    <w:rsid w:val="003B08A0"/>
    <w:rsid w:val="003B4A9E"/>
    <w:rsid w:val="003B7725"/>
    <w:rsid w:val="003C11EC"/>
    <w:rsid w:val="003C2D84"/>
    <w:rsid w:val="003C34F4"/>
    <w:rsid w:val="003C35E9"/>
    <w:rsid w:val="003C3CED"/>
    <w:rsid w:val="003C5B8F"/>
    <w:rsid w:val="003C735F"/>
    <w:rsid w:val="003D02DD"/>
    <w:rsid w:val="003D07EC"/>
    <w:rsid w:val="003D0A80"/>
    <w:rsid w:val="003D0FD1"/>
    <w:rsid w:val="003D282B"/>
    <w:rsid w:val="003D2966"/>
    <w:rsid w:val="003D3C78"/>
    <w:rsid w:val="003D5056"/>
    <w:rsid w:val="003D52FE"/>
    <w:rsid w:val="003D57E1"/>
    <w:rsid w:val="003D65AD"/>
    <w:rsid w:val="003D7917"/>
    <w:rsid w:val="003D7C06"/>
    <w:rsid w:val="003E06D2"/>
    <w:rsid w:val="003E0E56"/>
    <w:rsid w:val="003E0FAE"/>
    <w:rsid w:val="003E1C49"/>
    <w:rsid w:val="003E3DEC"/>
    <w:rsid w:val="003E423B"/>
    <w:rsid w:val="003E5555"/>
    <w:rsid w:val="003E5CBE"/>
    <w:rsid w:val="003E61D7"/>
    <w:rsid w:val="003F0BC1"/>
    <w:rsid w:val="003F19CF"/>
    <w:rsid w:val="003F300F"/>
    <w:rsid w:val="003F463E"/>
    <w:rsid w:val="003F4BAF"/>
    <w:rsid w:val="003F6C25"/>
    <w:rsid w:val="003F7733"/>
    <w:rsid w:val="003F7A42"/>
    <w:rsid w:val="003F7FAA"/>
    <w:rsid w:val="00400B0E"/>
    <w:rsid w:val="00401570"/>
    <w:rsid w:val="00403643"/>
    <w:rsid w:val="004112A6"/>
    <w:rsid w:val="00412B73"/>
    <w:rsid w:val="00413A96"/>
    <w:rsid w:val="00413EAA"/>
    <w:rsid w:val="00414B97"/>
    <w:rsid w:val="00420228"/>
    <w:rsid w:val="0042036A"/>
    <w:rsid w:val="004206B2"/>
    <w:rsid w:val="00420FFB"/>
    <w:rsid w:val="004216EF"/>
    <w:rsid w:val="00421E93"/>
    <w:rsid w:val="00422FA4"/>
    <w:rsid w:val="00423F7D"/>
    <w:rsid w:val="00424641"/>
    <w:rsid w:val="00427758"/>
    <w:rsid w:val="0043299B"/>
    <w:rsid w:val="004330D9"/>
    <w:rsid w:val="00433144"/>
    <w:rsid w:val="00436232"/>
    <w:rsid w:val="00437424"/>
    <w:rsid w:val="00442B06"/>
    <w:rsid w:val="004435DF"/>
    <w:rsid w:val="00447D22"/>
    <w:rsid w:val="0045072F"/>
    <w:rsid w:val="00452FD0"/>
    <w:rsid w:val="00453462"/>
    <w:rsid w:val="004544CB"/>
    <w:rsid w:val="004550AA"/>
    <w:rsid w:val="004551AD"/>
    <w:rsid w:val="00455807"/>
    <w:rsid w:val="00457B7B"/>
    <w:rsid w:val="00460B9A"/>
    <w:rsid w:val="0046172A"/>
    <w:rsid w:val="0046203C"/>
    <w:rsid w:val="004630D0"/>
    <w:rsid w:val="0046364D"/>
    <w:rsid w:val="0046462D"/>
    <w:rsid w:val="00464E99"/>
    <w:rsid w:val="00466B07"/>
    <w:rsid w:val="00467452"/>
    <w:rsid w:val="0046795B"/>
    <w:rsid w:val="004703D1"/>
    <w:rsid w:val="00470564"/>
    <w:rsid w:val="0047060C"/>
    <w:rsid w:val="004710CF"/>
    <w:rsid w:val="00471A0C"/>
    <w:rsid w:val="00471FDE"/>
    <w:rsid w:val="0047253D"/>
    <w:rsid w:val="00473987"/>
    <w:rsid w:val="00473D83"/>
    <w:rsid w:val="004752EB"/>
    <w:rsid w:val="004758C0"/>
    <w:rsid w:val="0048392C"/>
    <w:rsid w:val="0048393F"/>
    <w:rsid w:val="00485975"/>
    <w:rsid w:val="004863ED"/>
    <w:rsid w:val="0048694B"/>
    <w:rsid w:val="00487494"/>
    <w:rsid w:val="00487A2C"/>
    <w:rsid w:val="00487C12"/>
    <w:rsid w:val="00490B4D"/>
    <w:rsid w:val="0049366D"/>
    <w:rsid w:val="00493F0F"/>
    <w:rsid w:val="0049429F"/>
    <w:rsid w:val="00496F9C"/>
    <w:rsid w:val="00497680"/>
    <w:rsid w:val="004A1243"/>
    <w:rsid w:val="004A37D1"/>
    <w:rsid w:val="004A539E"/>
    <w:rsid w:val="004A53F1"/>
    <w:rsid w:val="004A54AF"/>
    <w:rsid w:val="004A6D2D"/>
    <w:rsid w:val="004B0A2B"/>
    <w:rsid w:val="004B13A3"/>
    <w:rsid w:val="004B2D8B"/>
    <w:rsid w:val="004B2FD4"/>
    <w:rsid w:val="004B3BCF"/>
    <w:rsid w:val="004B4B5F"/>
    <w:rsid w:val="004B62E1"/>
    <w:rsid w:val="004B7032"/>
    <w:rsid w:val="004C04CF"/>
    <w:rsid w:val="004C0FDC"/>
    <w:rsid w:val="004C2808"/>
    <w:rsid w:val="004C2AD7"/>
    <w:rsid w:val="004C36D4"/>
    <w:rsid w:val="004C3E2A"/>
    <w:rsid w:val="004C4E01"/>
    <w:rsid w:val="004C4EAB"/>
    <w:rsid w:val="004C691B"/>
    <w:rsid w:val="004C74AF"/>
    <w:rsid w:val="004D1BEC"/>
    <w:rsid w:val="004D2513"/>
    <w:rsid w:val="004D3681"/>
    <w:rsid w:val="004D50AC"/>
    <w:rsid w:val="004D53AE"/>
    <w:rsid w:val="004D5C9F"/>
    <w:rsid w:val="004E025E"/>
    <w:rsid w:val="004E1FEC"/>
    <w:rsid w:val="004E556C"/>
    <w:rsid w:val="004E5835"/>
    <w:rsid w:val="004F0774"/>
    <w:rsid w:val="004F0D9A"/>
    <w:rsid w:val="004F1DE9"/>
    <w:rsid w:val="004F236F"/>
    <w:rsid w:val="004F4016"/>
    <w:rsid w:val="004F46AB"/>
    <w:rsid w:val="004F6D4B"/>
    <w:rsid w:val="004F726A"/>
    <w:rsid w:val="004F7983"/>
    <w:rsid w:val="00500033"/>
    <w:rsid w:val="0050095D"/>
    <w:rsid w:val="00500FA4"/>
    <w:rsid w:val="00502986"/>
    <w:rsid w:val="005038EB"/>
    <w:rsid w:val="00504AEF"/>
    <w:rsid w:val="0050671B"/>
    <w:rsid w:val="00506A19"/>
    <w:rsid w:val="00506B5E"/>
    <w:rsid w:val="00512222"/>
    <w:rsid w:val="005134F1"/>
    <w:rsid w:val="00513A48"/>
    <w:rsid w:val="00514034"/>
    <w:rsid w:val="00514D43"/>
    <w:rsid w:val="005164DE"/>
    <w:rsid w:val="00521356"/>
    <w:rsid w:val="00523695"/>
    <w:rsid w:val="00523D92"/>
    <w:rsid w:val="00523EEF"/>
    <w:rsid w:val="005256E0"/>
    <w:rsid w:val="00526587"/>
    <w:rsid w:val="00526E11"/>
    <w:rsid w:val="00530C9E"/>
    <w:rsid w:val="00531CEF"/>
    <w:rsid w:val="00532096"/>
    <w:rsid w:val="00532E8C"/>
    <w:rsid w:val="00532EAA"/>
    <w:rsid w:val="00532F46"/>
    <w:rsid w:val="005355BD"/>
    <w:rsid w:val="00535D8B"/>
    <w:rsid w:val="0053758F"/>
    <w:rsid w:val="00541606"/>
    <w:rsid w:val="00541AE7"/>
    <w:rsid w:val="00543122"/>
    <w:rsid w:val="00543A6E"/>
    <w:rsid w:val="005457F8"/>
    <w:rsid w:val="00545D1D"/>
    <w:rsid w:val="00546048"/>
    <w:rsid w:val="00551733"/>
    <w:rsid w:val="00551979"/>
    <w:rsid w:val="005527B1"/>
    <w:rsid w:val="00553B84"/>
    <w:rsid w:val="00553FA0"/>
    <w:rsid w:val="00554276"/>
    <w:rsid w:val="00554F4A"/>
    <w:rsid w:val="00556884"/>
    <w:rsid w:val="00557171"/>
    <w:rsid w:val="00557918"/>
    <w:rsid w:val="00557E5D"/>
    <w:rsid w:val="00560F5C"/>
    <w:rsid w:val="005634F6"/>
    <w:rsid w:val="005644B3"/>
    <w:rsid w:val="005655CC"/>
    <w:rsid w:val="00565CDD"/>
    <w:rsid w:val="00566A24"/>
    <w:rsid w:val="00566F26"/>
    <w:rsid w:val="00567107"/>
    <w:rsid w:val="00567765"/>
    <w:rsid w:val="00570DF0"/>
    <w:rsid w:val="005725D3"/>
    <w:rsid w:val="00572700"/>
    <w:rsid w:val="00573BBE"/>
    <w:rsid w:val="00574F1A"/>
    <w:rsid w:val="0057683D"/>
    <w:rsid w:val="00577C4C"/>
    <w:rsid w:val="00581CA0"/>
    <w:rsid w:val="00582068"/>
    <w:rsid w:val="00583315"/>
    <w:rsid w:val="00584388"/>
    <w:rsid w:val="0058513A"/>
    <w:rsid w:val="0058683E"/>
    <w:rsid w:val="00587A6B"/>
    <w:rsid w:val="00590B31"/>
    <w:rsid w:val="00591C16"/>
    <w:rsid w:val="00592BF6"/>
    <w:rsid w:val="0059350D"/>
    <w:rsid w:val="00595AC7"/>
    <w:rsid w:val="00595FFA"/>
    <w:rsid w:val="0059606F"/>
    <w:rsid w:val="00597F25"/>
    <w:rsid w:val="005A04E0"/>
    <w:rsid w:val="005A0EEB"/>
    <w:rsid w:val="005A3E81"/>
    <w:rsid w:val="005A457A"/>
    <w:rsid w:val="005A5D83"/>
    <w:rsid w:val="005A638C"/>
    <w:rsid w:val="005B1E2E"/>
    <w:rsid w:val="005B32AE"/>
    <w:rsid w:val="005B34C0"/>
    <w:rsid w:val="005B3729"/>
    <w:rsid w:val="005B38F6"/>
    <w:rsid w:val="005B3F36"/>
    <w:rsid w:val="005B50EC"/>
    <w:rsid w:val="005B5500"/>
    <w:rsid w:val="005B5846"/>
    <w:rsid w:val="005B63F8"/>
    <w:rsid w:val="005B71DA"/>
    <w:rsid w:val="005C11CD"/>
    <w:rsid w:val="005C1813"/>
    <w:rsid w:val="005C1B0F"/>
    <w:rsid w:val="005C37D5"/>
    <w:rsid w:val="005C47D2"/>
    <w:rsid w:val="005C47F8"/>
    <w:rsid w:val="005C6D76"/>
    <w:rsid w:val="005C7CE8"/>
    <w:rsid w:val="005D2A65"/>
    <w:rsid w:val="005D449B"/>
    <w:rsid w:val="005D4BDD"/>
    <w:rsid w:val="005D600E"/>
    <w:rsid w:val="005D6531"/>
    <w:rsid w:val="005D7A0E"/>
    <w:rsid w:val="005D7F99"/>
    <w:rsid w:val="005E37CB"/>
    <w:rsid w:val="005E38DA"/>
    <w:rsid w:val="005E6E6F"/>
    <w:rsid w:val="005E7E61"/>
    <w:rsid w:val="005E7ED1"/>
    <w:rsid w:val="005F2AFD"/>
    <w:rsid w:val="006013B1"/>
    <w:rsid w:val="00601562"/>
    <w:rsid w:val="00607480"/>
    <w:rsid w:val="0061030E"/>
    <w:rsid w:val="00610400"/>
    <w:rsid w:val="00610647"/>
    <w:rsid w:val="006112D7"/>
    <w:rsid w:val="00611631"/>
    <w:rsid w:val="00612649"/>
    <w:rsid w:val="00612D69"/>
    <w:rsid w:val="0061408C"/>
    <w:rsid w:val="00614723"/>
    <w:rsid w:val="0061497F"/>
    <w:rsid w:val="006160C3"/>
    <w:rsid w:val="0062122D"/>
    <w:rsid w:val="00621E3E"/>
    <w:rsid w:val="00624482"/>
    <w:rsid w:val="00624C87"/>
    <w:rsid w:val="0062729C"/>
    <w:rsid w:val="00632735"/>
    <w:rsid w:val="006337B7"/>
    <w:rsid w:val="006347ED"/>
    <w:rsid w:val="00634B81"/>
    <w:rsid w:val="006351AD"/>
    <w:rsid w:val="00642465"/>
    <w:rsid w:val="00643139"/>
    <w:rsid w:val="00643BF3"/>
    <w:rsid w:val="00644310"/>
    <w:rsid w:val="0064596B"/>
    <w:rsid w:val="006459E0"/>
    <w:rsid w:val="00647873"/>
    <w:rsid w:val="00651265"/>
    <w:rsid w:val="00651E0B"/>
    <w:rsid w:val="00653258"/>
    <w:rsid w:val="006537DF"/>
    <w:rsid w:val="00654619"/>
    <w:rsid w:val="006550DF"/>
    <w:rsid w:val="006575CD"/>
    <w:rsid w:val="00660B37"/>
    <w:rsid w:val="006617E7"/>
    <w:rsid w:val="00662080"/>
    <w:rsid w:val="00665783"/>
    <w:rsid w:val="00667076"/>
    <w:rsid w:val="00667969"/>
    <w:rsid w:val="006705B2"/>
    <w:rsid w:val="00670E41"/>
    <w:rsid w:val="0067102B"/>
    <w:rsid w:val="006749A7"/>
    <w:rsid w:val="00676063"/>
    <w:rsid w:val="00684C87"/>
    <w:rsid w:val="00685F14"/>
    <w:rsid w:val="00690088"/>
    <w:rsid w:val="0069137E"/>
    <w:rsid w:val="00691860"/>
    <w:rsid w:val="006919AE"/>
    <w:rsid w:val="0069204A"/>
    <w:rsid w:val="006926DA"/>
    <w:rsid w:val="00692C52"/>
    <w:rsid w:val="00693540"/>
    <w:rsid w:val="0069721D"/>
    <w:rsid w:val="006A1A09"/>
    <w:rsid w:val="006A280F"/>
    <w:rsid w:val="006A349E"/>
    <w:rsid w:val="006A457B"/>
    <w:rsid w:val="006A4997"/>
    <w:rsid w:val="006A49ED"/>
    <w:rsid w:val="006A56EC"/>
    <w:rsid w:val="006A69EB"/>
    <w:rsid w:val="006A6B22"/>
    <w:rsid w:val="006B016E"/>
    <w:rsid w:val="006B0AA6"/>
    <w:rsid w:val="006B1478"/>
    <w:rsid w:val="006B1AAD"/>
    <w:rsid w:val="006B1C61"/>
    <w:rsid w:val="006B257C"/>
    <w:rsid w:val="006B47E3"/>
    <w:rsid w:val="006B536A"/>
    <w:rsid w:val="006B5ED7"/>
    <w:rsid w:val="006B7360"/>
    <w:rsid w:val="006C06A2"/>
    <w:rsid w:val="006C075C"/>
    <w:rsid w:val="006C08DE"/>
    <w:rsid w:val="006C2E5C"/>
    <w:rsid w:val="006C3E6F"/>
    <w:rsid w:val="006C4B87"/>
    <w:rsid w:val="006C4CE8"/>
    <w:rsid w:val="006C51EB"/>
    <w:rsid w:val="006C788F"/>
    <w:rsid w:val="006D4CB2"/>
    <w:rsid w:val="006D6478"/>
    <w:rsid w:val="006D793F"/>
    <w:rsid w:val="006E17B3"/>
    <w:rsid w:val="006E2F29"/>
    <w:rsid w:val="006E30E1"/>
    <w:rsid w:val="006E38A0"/>
    <w:rsid w:val="006E3A69"/>
    <w:rsid w:val="006E533B"/>
    <w:rsid w:val="006E5ECC"/>
    <w:rsid w:val="006E61EB"/>
    <w:rsid w:val="006F2B4D"/>
    <w:rsid w:val="006F4D17"/>
    <w:rsid w:val="006F6164"/>
    <w:rsid w:val="006F6382"/>
    <w:rsid w:val="0070049E"/>
    <w:rsid w:val="007028B8"/>
    <w:rsid w:val="00703170"/>
    <w:rsid w:val="00703424"/>
    <w:rsid w:val="00706B47"/>
    <w:rsid w:val="00707DB4"/>
    <w:rsid w:val="00711195"/>
    <w:rsid w:val="007113D3"/>
    <w:rsid w:val="00711ED7"/>
    <w:rsid w:val="00713AE1"/>
    <w:rsid w:val="0071447D"/>
    <w:rsid w:val="00717DAD"/>
    <w:rsid w:val="0072015E"/>
    <w:rsid w:val="0072113F"/>
    <w:rsid w:val="0072206D"/>
    <w:rsid w:val="007230DF"/>
    <w:rsid w:val="0072538C"/>
    <w:rsid w:val="00725A51"/>
    <w:rsid w:val="0072622F"/>
    <w:rsid w:val="00727DA4"/>
    <w:rsid w:val="00730EBE"/>
    <w:rsid w:val="00732156"/>
    <w:rsid w:val="00732508"/>
    <w:rsid w:val="00733155"/>
    <w:rsid w:val="00735D51"/>
    <w:rsid w:val="0074094D"/>
    <w:rsid w:val="00741D8C"/>
    <w:rsid w:val="00742560"/>
    <w:rsid w:val="0074294B"/>
    <w:rsid w:val="00743508"/>
    <w:rsid w:val="00744B4D"/>
    <w:rsid w:val="00745579"/>
    <w:rsid w:val="007459E7"/>
    <w:rsid w:val="00747226"/>
    <w:rsid w:val="00747C90"/>
    <w:rsid w:val="0075746E"/>
    <w:rsid w:val="00757519"/>
    <w:rsid w:val="007609CD"/>
    <w:rsid w:val="007619ED"/>
    <w:rsid w:val="00761DFD"/>
    <w:rsid w:val="00762115"/>
    <w:rsid w:val="00763CCD"/>
    <w:rsid w:val="007645D2"/>
    <w:rsid w:val="007651B3"/>
    <w:rsid w:val="00765F0D"/>
    <w:rsid w:val="00766B43"/>
    <w:rsid w:val="00773BA5"/>
    <w:rsid w:val="0077481E"/>
    <w:rsid w:val="00775E21"/>
    <w:rsid w:val="0077676B"/>
    <w:rsid w:val="00777828"/>
    <w:rsid w:val="00777B3B"/>
    <w:rsid w:val="007805F2"/>
    <w:rsid w:val="00780A74"/>
    <w:rsid w:val="007811AE"/>
    <w:rsid w:val="007849D8"/>
    <w:rsid w:val="0078642C"/>
    <w:rsid w:val="00786516"/>
    <w:rsid w:val="00791EFB"/>
    <w:rsid w:val="0079343E"/>
    <w:rsid w:val="00796306"/>
    <w:rsid w:val="00797B4E"/>
    <w:rsid w:val="007A04B0"/>
    <w:rsid w:val="007A0912"/>
    <w:rsid w:val="007A1A08"/>
    <w:rsid w:val="007A248F"/>
    <w:rsid w:val="007A2828"/>
    <w:rsid w:val="007A4230"/>
    <w:rsid w:val="007A4C89"/>
    <w:rsid w:val="007A5B90"/>
    <w:rsid w:val="007A5F1E"/>
    <w:rsid w:val="007A6B55"/>
    <w:rsid w:val="007A729C"/>
    <w:rsid w:val="007A7C37"/>
    <w:rsid w:val="007B00B3"/>
    <w:rsid w:val="007B2681"/>
    <w:rsid w:val="007B46F8"/>
    <w:rsid w:val="007C03F8"/>
    <w:rsid w:val="007C1369"/>
    <w:rsid w:val="007C226C"/>
    <w:rsid w:val="007C46CB"/>
    <w:rsid w:val="007C4753"/>
    <w:rsid w:val="007C5A78"/>
    <w:rsid w:val="007C6F33"/>
    <w:rsid w:val="007D0C1E"/>
    <w:rsid w:val="007D1223"/>
    <w:rsid w:val="007D1763"/>
    <w:rsid w:val="007D252B"/>
    <w:rsid w:val="007D34D7"/>
    <w:rsid w:val="007D3DAA"/>
    <w:rsid w:val="007D3E2F"/>
    <w:rsid w:val="007D3EE6"/>
    <w:rsid w:val="007D5A12"/>
    <w:rsid w:val="007D76FE"/>
    <w:rsid w:val="007E04A0"/>
    <w:rsid w:val="007E085D"/>
    <w:rsid w:val="007E111E"/>
    <w:rsid w:val="007E1B72"/>
    <w:rsid w:val="007E369C"/>
    <w:rsid w:val="007E5FA4"/>
    <w:rsid w:val="007E6587"/>
    <w:rsid w:val="007E69E6"/>
    <w:rsid w:val="007F03FF"/>
    <w:rsid w:val="007F0D3D"/>
    <w:rsid w:val="007F1117"/>
    <w:rsid w:val="007F14D4"/>
    <w:rsid w:val="007F1D4B"/>
    <w:rsid w:val="00800E1D"/>
    <w:rsid w:val="00802D29"/>
    <w:rsid w:val="00803BD2"/>
    <w:rsid w:val="00804579"/>
    <w:rsid w:val="00810CDC"/>
    <w:rsid w:val="00811010"/>
    <w:rsid w:val="00812808"/>
    <w:rsid w:val="00813760"/>
    <w:rsid w:val="00822E46"/>
    <w:rsid w:val="00824C62"/>
    <w:rsid w:val="00826386"/>
    <w:rsid w:val="00826541"/>
    <w:rsid w:val="008273B2"/>
    <w:rsid w:val="00834912"/>
    <w:rsid w:val="00837C6A"/>
    <w:rsid w:val="00841748"/>
    <w:rsid w:val="008428B5"/>
    <w:rsid w:val="00842E8E"/>
    <w:rsid w:val="00847253"/>
    <w:rsid w:val="0084734E"/>
    <w:rsid w:val="0085004A"/>
    <w:rsid w:val="00852350"/>
    <w:rsid w:val="0085280A"/>
    <w:rsid w:val="00852DE7"/>
    <w:rsid w:val="00853288"/>
    <w:rsid w:val="00854AEB"/>
    <w:rsid w:val="0085562B"/>
    <w:rsid w:val="00855FEA"/>
    <w:rsid w:val="008562EF"/>
    <w:rsid w:val="00856A40"/>
    <w:rsid w:val="008571F9"/>
    <w:rsid w:val="00861B8E"/>
    <w:rsid w:val="008632D0"/>
    <w:rsid w:val="008642C0"/>
    <w:rsid w:val="008669EB"/>
    <w:rsid w:val="0087047A"/>
    <w:rsid w:val="00873364"/>
    <w:rsid w:val="00874B22"/>
    <w:rsid w:val="008778BA"/>
    <w:rsid w:val="00882551"/>
    <w:rsid w:val="00883550"/>
    <w:rsid w:val="00884C3B"/>
    <w:rsid w:val="00884F85"/>
    <w:rsid w:val="00886256"/>
    <w:rsid w:val="00886AC1"/>
    <w:rsid w:val="00887345"/>
    <w:rsid w:val="0088770C"/>
    <w:rsid w:val="00890677"/>
    <w:rsid w:val="008911D3"/>
    <w:rsid w:val="00891E4E"/>
    <w:rsid w:val="00894D74"/>
    <w:rsid w:val="00896030"/>
    <w:rsid w:val="00896E20"/>
    <w:rsid w:val="008A17D8"/>
    <w:rsid w:val="008A4BA4"/>
    <w:rsid w:val="008A6386"/>
    <w:rsid w:val="008A6E3A"/>
    <w:rsid w:val="008A6F4C"/>
    <w:rsid w:val="008B2789"/>
    <w:rsid w:val="008B2930"/>
    <w:rsid w:val="008B460C"/>
    <w:rsid w:val="008B6145"/>
    <w:rsid w:val="008B67C3"/>
    <w:rsid w:val="008B75E8"/>
    <w:rsid w:val="008C0EA7"/>
    <w:rsid w:val="008C1FB1"/>
    <w:rsid w:val="008C21BC"/>
    <w:rsid w:val="008C2AA7"/>
    <w:rsid w:val="008C33F7"/>
    <w:rsid w:val="008C5F3F"/>
    <w:rsid w:val="008C6240"/>
    <w:rsid w:val="008C62D3"/>
    <w:rsid w:val="008C6501"/>
    <w:rsid w:val="008D08EC"/>
    <w:rsid w:val="008D3292"/>
    <w:rsid w:val="008D38EB"/>
    <w:rsid w:val="008D3F3B"/>
    <w:rsid w:val="008D50C0"/>
    <w:rsid w:val="008D56CA"/>
    <w:rsid w:val="008D60FF"/>
    <w:rsid w:val="008D6D36"/>
    <w:rsid w:val="008D70EC"/>
    <w:rsid w:val="008D7236"/>
    <w:rsid w:val="008D7309"/>
    <w:rsid w:val="008E060A"/>
    <w:rsid w:val="008E2A45"/>
    <w:rsid w:val="008E2BA5"/>
    <w:rsid w:val="008E5A12"/>
    <w:rsid w:val="008E66CA"/>
    <w:rsid w:val="008F026A"/>
    <w:rsid w:val="008F12A2"/>
    <w:rsid w:val="008F14C7"/>
    <w:rsid w:val="008F1E65"/>
    <w:rsid w:val="008F24E5"/>
    <w:rsid w:val="008F25C2"/>
    <w:rsid w:val="008F316C"/>
    <w:rsid w:val="008F37D0"/>
    <w:rsid w:val="008F5D89"/>
    <w:rsid w:val="008F5F0E"/>
    <w:rsid w:val="008F67A4"/>
    <w:rsid w:val="008F6938"/>
    <w:rsid w:val="009000CB"/>
    <w:rsid w:val="009025FC"/>
    <w:rsid w:val="00902D0B"/>
    <w:rsid w:val="009030F0"/>
    <w:rsid w:val="0090357E"/>
    <w:rsid w:val="009039F5"/>
    <w:rsid w:val="009054AF"/>
    <w:rsid w:val="00906BA4"/>
    <w:rsid w:val="009109C3"/>
    <w:rsid w:val="00910E73"/>
    <w:rsid w:val="0091243C"/>
    <w:rsid w:val="00912E58"/>
    <w:rsid w:val="0091433E"/>
    <w:rsid w:val="00915995"/>
    <w:rsid w:val="009167E7"/>
    <w:rsid w:val="00917B71"/>
    <w:rsid w:val="00917D6B"/>
    <w:rsid w:val="00920812"/>
    <w:rsid w:val="009208C1"/>
    <w:rsid w:val="00920D8A"/>
    <w:rsid w:val="0092154B"/>
    <w:rsid w:val="00921FE9"/>
    <w:rsid w:val="009229BC"/>
    <w:rsid w:val="00922CE8"/>
    <w:rsid w:val="00925255"/>
    <w:rsid w:val="0092628E"/>
    <w:rsid w:val="00926547"/>
    <w:rsid w:val="009273D4"/>
    <w:rsid w:val="0093061C"/>
    <w:rsid w:val="00931846"/>
    <w:rsid w:val="0093433C"/>
    <w:rsid w:val="00934A50"/>
    <w:rsid w:val="00934F10"/>
    <w:rsid w:val="00934FFE"/>
    <w:rsid w:val="009350D6"/>
    <w:rsid w:val="0093594A"/>
    <w:rsid w:val="00937313"/>
    <w:rsid w:val="00937927"/>
    <w:rsid w:val="00941B72"/>
    <w:rsid w:val="009421A6"/>
    <w:rsid w:val="00943F01"/>
    <w:rsid w:val="00944DE8"/>
    <w:rsid w:val="009451FA"/>
    <w:rsid w:val="0094677A"/>
    <w:rsid w:val="00946984"/>
    <w:rsid w:val="00946EA2"/>
    <w:rsid w:val="009503F1"/>
    <w:rsid w:val="00951BA8"/>
    <w:rsid w:val="00952BC4"/>
    <w:rsid w:val="00953C0D"/>
    <w:rsid w:val="0095515D"/>
    <w:rsid w:val="009602A5"/>
    <w:rsid w:val="00961898"/>
    <w:rsid w:val="0096225D"/>
    <w:rsid w:val="009630B9"/>
    <w:rsid w:val="00967E08"/>
    <w:rsid w:val="00970DE1"/>
    <w:rsid w:val="00970EA2"/>
    <w:rsid w:val="009725B6"/>
    <w:rsid w:val="00972941"/>
    <w:rsid w:val="00974259"/>
    <w:rsid w:val="009747BB"/>
    <w:rsid w:val="00975000"/>
    <w:rsid w:val="00975587"/>
    <w:rsid w:val="009757C2"/>
    <w:rsid w:val="00977A94"/>
    <w:rsid w:val="00977CED"/>
    <w:rsid w:val="00977E9A"/>
    <w:rsid w:val="009814FB"/>
    <w:rsid w:val="00981D48"/>
    <w:rsid w:val="009844BB"/>
    <w:rsid w:val="00984569"/>
    <w:rsid w:val="00984A07"/>
    <w:rsid w:val="0098574D"/>
    <w:rsid w:val="00985D57"/>
    <w:rsid w:val="009864AD"/>
    <w:rsid w:val="0098726F"/>
    <w:rsid w:val="009924F0"/>
    <w:rsid w:val="00992551"/>
    <w:rsid w:val="00993604"/>
    <w:rsid w:val="00993959"/>
    <w:rsid w:val="00993A5F"/>
    <w:rsid w:val="00995C28"/>
    <w:rsid w:val="0099608A"/>
    <w:rsid w:val="00997431"/>
    <w:rsid w:val="009A55C8"/>
    <w:rsid w:val="009A6285"/>
    <w:rsid w:val="009B26B3"/>
    <w:rsid w:val="009B4D7A"/>
    <w:rsid w:val="009B4F73"/>
    <w:rsid w:val="009B6088"/>
    <w:rsid w:val="009B7902"/>
    <w:rsid w:val="009C1EBF"/>
    <w:rsid w:val="009C446B"/>
    <w:rsid w:val="009C60B3"/>
    <w:rsid w:val="009C6D21"/>
    <w:rsid w:val="009D06D2"/>
    <w:rsid w:val="009D0D51"/>
    <w:rsid w:val="009D13D5"/>
    <w:rsid w:val="009D2778"/>
    <w:rsid w:val="009D38F5"/>
    <w:rsid w:val="009D60C4"/>
    <w:rsid w:val="009D64B0"/>
    <w:rsid w:val="009D7B6B"/>
    <w:rsid w:val="009E18ED"/>
    <w:rsid w:val="009E2AB6"/>
    <w:rsid w:val="009E33B3"/>
    <w:rsid w:val="009E39E3"/>
    <w:rsid w:val="009E7C8D"/>
    <w:rsid w:val="009F11A0"/>
    <w:rsid w:val="009F1F1B"/>
    <w:rsid w:val="009F2257"/>
    <w:rsid w:val="009F614B"/>
    <w:rsid w:val="009F7835"/>
    <w:rsid w:val="00A00623"/>
    <w:rsid w:val="00A00B77"/>
    <w:rsid w:val="00A01C3C"/>
    <w:rsid w:val="00A03CFB"/>
    <w:rsid w:val="00A05694"/>
    <w:rsid w:val="00A10930"/>
    <w:rsid w:val="00A11384"/>
    <w:rsid w:val="00A11646"/>
    <w:rsid w:val="00A11974"/>
    <w:rsid w:val="00A119FA"/>
    <w:rsid w:val="00A11A18"/>
    <w:rsid w:val="00A13F36"/>
    <w:rsid w:val="00A14BDD"/>
    <w:rsid w:val="00A17A66"/>
    <w:rsid w:val="00A2245A"/>
    <w:rsid w:val="00A2362B"/>
    <w:rsid w:val="00A25AC5"/>
    <w:rsid w:val="00A272B7"/>
    <w:rsid w:val="00A3023F"/>
    <w:rsid w:val="00A30765"/>
    <w:rsid w:val="00A36B2B"/>
    <w:rsid w:val="00A375D3"/>
    <w:rsid w:val="00A402D9"/>
    <w:rsid w:val="00A422DA"/>
    <w:rsid w:val="00A43578"/>
    <w:rsid w:val="00A437C7"/>
    <w:rsid w:val="00A471D4"/>
    <w:rsid w:val="00A473F1"/>
    <w:rsid w:val="00A51C6D"/>
    <w:rsid w:val="00A530FE"/>
    <w:rsid w:val="00A576BE"/>
    <w:rsid w:val="00A60034"/>
    <w:rsid w:val="00A6079B"/>
    <w:rsid w:val="00A61166"/>
    <w:rsid w:val="00A63A59"/>
    <w:rsid w:val="00A66564"/>
    <w:rsid w:val="00A66BE6"/>
    <w:rsid w:val="00A67099"/>
    <w:rsid w:val="00A704CC"/>
    <w:rsid w:val="00A7050E"/>
    <w:rsid w:val="00A70738"/>
    <w:rsid w:val="00A71F0C"/>
    <w:rsid w:val="00A736FE"/>
    <w:rsid w:val="00A74D10"/>
    <w:rsid w:val="00A761FB"/>
    <w:rsid w:val="00A769CD"/>
    <w:rsid w:val="00A77E93"/>
    <w:rsid w:val="00A81276"/>
    <w:rsid w:val="00A81570"/>
    <w:rsid w:val="00A81FEF"/>
    <w:rsid w:val="00A840EF"/>
    <w:rsid w:val="00A84358"/>
    <w:rsid w:val="00A84368"/>
    <w:rsid w:val="00A84558"/>
    <w:rsid w:val="00A85EEA"/>
    <w:rsid w:val="00A86B62"/>
    <w:rsid w:val="00A87608"/>
    <w:rsid w:val="00A87AAC"/>
    <w:rsid w:val="00A90381"/>
    <w:rsid w:val="00A9158E"/>
    <w:rsid w:val="00A91DD3"/>
    <w:rsid w:val="00A938AA"/>
    <w:rsid w:val="00A958DE"/>
    <w:rsid w:val="00A95908"/>
    <w:rsid w:val="00A96372"/>
    <w:rsid w:val="00A975AB"/>
    <w:rsid w:val="00AA27D8"/>
    <w:rsid w:val="00AA42A1"/>
    <w:rsid w:val="00AA79ED"/>
    <w:rsid w:val="00AB1D67"/>
    <w:rsid w:val="00AB2137"/>
    <w:rsid w:val="00AB3801"/>
    <w:rsid w:val="00AB398C"/>
    <w:rsid w:val="00AB3DDD"/>
    <w:rsid w:val="00AB525B"/>
    <w:rsid w:val="00AB6D15"/>
    <w:rsid w:val="00AB7ADB"/>
    <w:rsid w:val="00AB7F72"/>
    <w:rsid w:val="00AC0A30"/>
    <w:rsid w:val="00AC16B1"/>
    <w:rsid w:val="00AC2033"/>
    <w:rsid w:val="00AC22C2"/>
    <w:rsid w:val="00AC30CA"/>
    <w:rsid w:val="00AC3143"/>
    <w:rsid w:val="00AC3729"/>
    <w:rsid w:val="00AC42DE"/>
    <w:rsid w:val="00AC5169"/>
    <w:rsid w:val="00AC5EBE"/>
    <w:rsid w:val="00AD00D7"/>
    <w:rsid w:val="00AD0DBD"/>
    <w:rsid w:val="00AD1D45"/>
    <w:rsid w:val="00AD1E8D"/>
    <w:rsid w:val="00AD3612"/>
    <w:rsid w:val="00AD3777"/>
    <w:rsid w:val="00AD6469"/>
    <w:rsid w:val="00AD6C67"/>
    <w:rsid w:val="00AE2508"/>
    <w:rsid w:val="00AE3086"/>
    <w:rsid w:val="00AE545B"/>
    <w:rsid w:val="00AE581A"/>
    <w:rsid w:val="00AE7CDA"/>
    <w:rsid w:val="00AF0939"/>
    <w:rsid w:val="00AF3710"/>
    <w:rsid w:val="00AF4CD0"/>
    <w:rsid w:val="00AF601B"/>
    <w:rsid w:val="00AF66E5"/>
    <w:rsid w:val="00AF7B82"/>
    <w:rsid w:val="00B018E0"/>
    <w:rsid w:val="00B02959"/>
    <w:rsid w:val="00B03052"/>
    <w:rsid w:val="00B035CB"/>
    <w:rsid w:val="00B04938"/>
    <w:rsid w:val="00B04D67"/>
    <w:rsid w:val="00B068C1"/>
    <w:rsid w:val="00B06978"/>
    <w:rsid w:val="00B10B80"/>
    <w:rsid w:val="00B14EF1"/>
    <w:rsid w:val="00B15EA2"/>
    <w:rsid w:val="00B17028"/>
    <w:rsid w:val="00B17CFC"/>
    <w:rsid w:val="00B2187E"/>
    <w:rsid w:val="00B228B3"/>
    <w:rsid w:val="00B22EFA"/>
    <w:rsid w:val="00B23DB1"/>
    <w:rsid w:val="00B26B18"/>
    <w:rsid w:val="00B3105F"/>
    <w:rsid w:val="00B33422"/>
    <w:rsid w:val="00B33B81"/>
    <w:rsid w:val="00B3510C"/>
    <w:rsid w:val="00B358D5"/>
    <w:rsid w:val="00B35BA5"/>
    <w:rsid w:val="00B37AAC"/>
    <w:rsid w:val="00B40617"/>
    <w:rsid w:val="00B441B7"/>
    <w:rsid w:val="00B45117"/>
    <w:rsid w:val="00B45AE0"/>
    <w:rsid w:val="00B46401"/>
    <w:rsid w:val="00B4713A"/>
    <w:rsid w:val="00B50420"/>
    <w:rsid w:val="00B5108E"/>
    <w:rsid w:val="00B5280A"/>
    <w:rsid w:val="00B52B20"/>
    <w:rsid w:val="00B547D8"/>
    <w:rsid w:val="00B54B5D"/>
    <w:rsid w:val="00B55451"/>
    <w:rsid w:val="00B61546"/>
    <w:rsid w:val="00B622DB"/>
    <w:rsid w:val="00B628B8"/>
    <w:rsid w:val="00B628D2"/>
    <w:rsid w:val="00B630F9"/>
    <w:rsid w:val="00B63FE3"/>
    <w:rsid w:val="00B64573"/>
    <w:rsid w:val="00B64E8C"/>
    <w:rsid w:val="00B650CA"/>
    <w:rsid w:val="00B73FAE"/>
    <w:rsid w:val="00B75964"/>
    <w:rsid w:val="00B75CF2"/>
    <w:rsid w:val="00B768EA"/>
    <w:rsid w:val="00B76F98"/>
    <w:rsid w:val="00B77F76"/>
    <w:rsid w:val="00B800B1"/>
    <w:rsid w:val="00B814CF"/>
    <w:rsid w:val="00B820EA"/>
    <w:rsid w:val="00B82AE5"/>
    <w:rsid w:val="00B835D3"/>
    <w:rsid w:val="00B83EEF"/>
    <w:rsid w:val="00B915BC"/>
    <w:rsid w:val="00B93310"/>
    <w:rsid w:val="00B94516"/>
    <w:rsid w:val="00B94689"/>
    <w:rsid w:val="00BA0393"/>
    <w:rsid w:val="00BA0EAE"/>
    <w:rsid w:val="00BA22E3"/>
    <w:rsid w:val="00BA22F2"/>
    <w:rsid w:val="00BA34AD"/>
    <w:rsid w:val="00BA3976"/>
    <w:rsid w:val="00BA488D"/>
    <w:rsid w:val="00BA5D37"/>
    <w:rsid w:val="00BA7CBA"/>
    <w:rsid w:val="00BB08CA"/>
    <w:rsid w:val="00BB2C1A"/>
    <w:rsid w:val="00BB34DA"/>
    <w:rsid w:val="00BB372C"/>
    <w:rsid w:val="00BB6220"/>
    <w:rsid w:val="00BB7100"/>
    <w:rsid w:val="00BC0522"/>
    <w:rsid w:val="00BC0F7F"/>
    <w:rsid w:val="00BC1DFA"/>
    <w:rsid w:val="00BC2662"/>
    <w:rsid w:val="00BC4BEE"/>
    <w:rsid w:val="00BD3CC4"/>
    <w:rsid w:val="00BE0639"/>
    <w:rsid w:val="00BE1618"/>
    <w:rsid w:val="00BE1C13"/>
    <w:rsid w:val="00BE2556"/>
    <w:rsid w:val="00BE4822"/>
    <w:rsid w:val="00BE6300"/>
    <w:rsid w:val="00BE6FC4"/>
    <w:rsid w:val="00BE749F"/>
    <w:rsid w:val="00BF09BB"/>
    <w:rsid w:val="00BF29C7"/>
    <w:rsid w:val="00C0057A"/>
    <w:rsid w:val="00C012BC"/>
    <w:rsid w:val="00C01D05"/>
    <w:rsid w:val="00C03334"/>
    <w:rsid w:val="00C03E8B"/>
    <w:rsid w:val="00C04CFA"/>
    <w:rsid w:val="00C06CED"/>
    <w:rsid w:val="00C100F9"/>
    <w:rsid w:val="00C1125B"/>
    <w:rsid w:val="00C11FA0"/>
    <w:rsid w:val="00C13B39"/>
    <w:rsid w:val="00C13D1C"/>
    <w:rsid w:val="00C141E5"/>
    <w:rsid w:val="00C153FD"/>
    <w:rsid w:val="00C156BD"/>
    <w:rsid w:val="00C174E3"/>
    <w:rsid w:val="00C17B7D"/>
    <w:rsid w:val="00C17E7E"/>
    <w:rsid w:val="00C22D7D"/>
    <w:rsid w:val="00C24BD2"/>
    <w:rsid w:val="00C31E67"/>
    <w:rsid w:val="00C3357C"/>
    <w:rsid w:val="00C33F7F"/>
    <w:rsid w:val="00C34EA8"/>
    <w:rsid w:val="00C35149"/>
    <w:rsid w:val="00C35FE0"/>
    <w:rsid w:val="00C3607C"/>
    <w:rsid w:val="00C416E4"/>
    <w:rsid w:val="00C419D1"/>
    <w:rsid w:val="00C42472"/>
    <w:rsid w:val="00C42CD2"/>
    <w:rsid w:val="00C432A0"/>
    <w:rsid w:val="00C45D3C"/>
    <w:rsid w:val="00C461A9"/>
    <w:rsid w:val="00C46A01"/>
    <w:rsid w:val="00C46A8E"/>
    <w:rsid w:val="00C50466"/>
    <w:rsid w:val="00C505DC"/>
    <w:rsid w:val="00C530C1"/>
    <w:rsid w:val="00C542F0"/>
    <w:rsid w:val="00C55C8C"/>
    <w:rsid w:val="00C562A0"/>
    <w:rsid w:val="00C5713B"/>
    <w:rsid w:val="00C5743F"/>
    <w:rsid w:val="00C64C0E"/>
    <w:rsid w:val="00C72303"/>
    <w:rsid w:val="00C763CE"/>
    <w:rsid w:val="00C82F29"/>
    <w:rsid w:val="00C84DEC"/>
    <w:rsid w:val="00C86056"/>
    <w:rsid w:val="00C87EA7"/>
    <w:rsid w:val="00C90968"/>
    <w:rsid w:val="00C9168C"/>
    <w:rsid w:val="00C93D78"/>
    <w:rsid w:val="00C95BFB"/>
    <w:rsid w:val="00CA30F4"/>
    <w:rsid w:val="00CA4170"/>
    <w:rsid w:val="00CA4965"/>
    <w:rsid w:val="00CA608D"/>
    <w:rsid w:val="00CA64D4"/>
    <w:rsid w:val="00CA689C"/>
    <w:rsid w:val="00CB34B6"/>
    <w:rsid w:val="00CB4222"/>
    <w:rsid w:val="00CB4845"/>
    <w:rsid w:val="00CC00FD"/>
    <w:rsid w:val="00CC0C82"/>
    <w:rsid w:val="00CC3516"/>
    <w:rsid w:val="00CC3D17"/>
    <w:rsid w:val="00CC4920"/>
    <w:rsid w:val="00CC62D9"/>
    <w:rsid w:val="00CD1735"/>
    <w:rsid w:val="00CD2583"/>
    <w:rsid w:val="00CD2FB6"/>
    <w:rsid w:val="00CD3644"/>
    <w:rsid w:val="00CD5AF0"/>
    <w:rsid w:val="00CD5EF0"/>
    <w:rsid w:val="00CD7F96"/>
    <w:rsid w:val="00CE0D95"/>
    <w:rsid w:val="00CE1C2B"/>
    <w:rsid w:val="00CE1E20"/>
    <w:rsid w:val="00CE3565"/>
    <w:rsid w:val="00CE386E"/>
    <w:rsid w:val="00CE3FD7"/>
    <w:rsid w:val="00CE5AC6"/>
    <w:rsid w:val="00CE7363"/>
    <w:rsid w:val="00CF0F5B"/>
    <w:rsid w:val="00CF1AD8"/>
    <w:rsid w:val="00CF3D9C"/>
    <w:rsid w:val="00CF3DEF"/>
    <w:rsid w:val="00CF565D"/>
    <w:rsid w:val="00CF5D17"/>
    <w:rsid w:val="00D01EB1"/>
    <w:rsid w:val="00D02A0C"/>
    <w:rsid w:val="00D10293"/>
    <w:rsid w:val="00D111A1"/>
    <w:rsid w:val="00D12752"/>
    <w:rsid w:val="00D13105"/>
    <w:rsid w:val="00D157E9"/>
    <w:rsid w:val="00D16F62"/>
    <w:rsid w:val="00D17888"/>
    <w:rsid w:val="00D21070"/>
    <w:rsid w:val="00D21359"/>
    <w:rsid w:val="00D242A9"/>
    <w:rsid w:val="00D243A2"/>
    <w:rsid w:val="00D24F56"/>
    <w:rsid w:val="00D258F0"/>
    <w:rsid w:val="00D31B34"/>
    <w:rsid w:val="00D33AE1"/>
    <w:rsid w:val="00D372E4"/>
    <w:rsid w:val="00D405AE"/>
    <w:rsid w:val="00D4112C"/>
    <w:rsid w:val="00D42A9E"/>
    <w:rsid w:val="00D464E4"/>
    <w:rsid w:val="00D46E3C"/>
    <w:rsid w:val="00D507EF"/>
    <w:rsid w:val="00D52570"/>
    <w:rsid w:val="00D53A33"/>
    <w:rsid w:val="00D544B9"/>
    <w:rsid w:val="00D572FF"/>
    <w:rsid w:val="00D5740A"/>
    <w:rsid w:val="00D57511"/>
    <w:rsid w:val="00D60FD6"/>
    <w:rsid w:val="00D644A6"/>
    <w:rsid w:val="00D64C86"/>
    <w:rsid w:val="00D6661B"/>
    <w:rsid w:val="00D71E24"/>
    <w:rsid w:val="00D7327B"/>
    <w:rsid w:val="00D7353B"/>
    <w:rsid w:val="00D73B2B"/>
    <w:rsid w:val="00D742A4"/>
    <w:rsid w:val="00D74302"/>
    <w:rsid w:val="00D751A7"/>
    <w:rsid w:val="00D752A3"/>
    <w:rsid w:val="00D7546A"/>
    <w:rsid w:val="00D75691"/>
    <w:rsid w:val="00D756D4"/>
    <w:rsid w:val="00D76519"/>
    <w:rsid w:val="00D8045A"/>
    <w:rsid w:val="00D81CC3"/>
    <w:rsid w:val="00D8429C"/>
    <w:rsid w:val="00D8440C"/>
    <w:rsid w:val="00D8441A"/>
    <w:rsid w:val="00D85245"/>
    <w:rsid w:val="00D85A21"/>
    <w:rsid w:val="00D867CB"/>
    <w:rsid w:val="00D87ACB"/>
    <w:rsid w:val="00D909EC"/>
    <w:rsid w:val="00D915A1"/>
    <w:rsid w:val="00D9211F"/>
    <w:rsid w:val="00D923F5"/>
    <w:rsid w:val="00D925DD"/>
    <w:rsid w:val="00D939BB"/>
    <w:rsid w:val="00D94AC3"/>
    <w:rsid w:val="00D9653D"/>
    <w:rsid w:val="00D96E05"/>
    <w:rsid w:val="00DA1551"/>
    <w:rsid w:val="00DA1F08"/>
    <w:rsid w:val="00DA2566"/>
    <w:rsid w:val="00DA2BE8"/>
    <w:rsid w:val="00DB5DCF"/>
    <w:rsid w:val="00DB7D69"/>
    <w:rsid w:val="00DC0DD6"/>
    <w:rsid w:val="00DC1331"/>
    <w:rsid w:val="00DC42F9"/>
    <w:rsid w:val="00DC71E8"/>
    <w:rsid w:val="00DC730E"/>
    <w:rsid w:val="00DD225E"/>
    <w:rsid w:val="00DD72BF"/>
    <w:rsid w:val="00DD79F4"/>
    <w:rsid w:val="00DE04D0"/>
    <w:rsid w:val="00DE2643"/>
    <w:rsid w:val="00DE4535"/>
    <w:rsid w:val="00DE5EC0"/>
    <w:rsid w:val="00DF1DDA"/>
    <w:rsid w:val="00DF797E"/>
    <w:rsid w:val="00E012FA"/>
    <w:rsid w:val="00E02EE3"/>
    <w:rsid w:val="00E037AA"/>
    <w:rsid w:val="00E04123"/>
    <w:rsid w:val="00E04A56"/>
    <w:rsid w:val="00E050FD"/>
    <w:rsid w:val="00E05F4C"/>
    <w:rsid w:val="00E07B83"/>
    <w:rsid w:val="00E10DDA"/>
    <w:rsid w:val="00E1498D"/>
    <w:rsid w:val="00E15804"/>
    <w:rsid w:val="00E15EE4"/>
    <w:rsid w:val="00E16C40"/>
    <w:rsid w:val="00E175EE"/>
    <w:rsid w:val="00E17CD1"/>
    <w:rsid w:val="00E205E2"/>
    <w:rsid w:val="00E212CF"/>
    <w:rsid w:val="00E221F0"/>
    <w:rsid w:val="00E25687"/>
    <w:rsid w:val="00E25ED8"/>
    <w:rsid w:val="00E260BA"/>
    <w:rsid w:val="00E27FEE"/>
    <w:rsid w:val="00E323E4"/>
    <w:rsid w:val="00E32873"/>
    <w:rsid w:val="00E33C7A"/>
    <w:rsid w:val="00E356BD"/>
    <w:rsid w:val="00E3594F"/>
    <w:rsid w:val="00E42849"/>
    <w:rsid w:val="00E456CD"/>
    <w:rsid w:val="00E465CA"/>
    <w:rsid w:val="00E50EB1"/>
    <w:rsid w:val="00E515DA"/>
    <w:rsid w:val="00E54DA5"/>
    <w:rsid w:val="00E5670E"/>
    <w:rsid w:val="00E5761E"/>
    <w:rsid w:val="00E57C65"/>
    <w:rsid w:val="00E616D8"/>
    <w:rsid w:val="00E629DE"/>
    <w:rsid w:val="00E655FF"/>
    <w:rsid w:val="00E7009B"/>
    <w:rsid w:val="00E738F9"/>
    <w:rsid w:val="00E751FC"/>
    <w:rsid w:val="00E75408"/>
    <w:rsid w:val="00E76A5B"/>
    <w:rsid w:val="00E779B5"/>
    <w:rsid w:val="00E80A7D"/>
    <w:rsid w:val="00E80E69"/>
    <w:rsid w:val="00E81989"/>
    <w:rsid w:val="00E8246C"/>
    <w:rsid w:val="00E829FB"/>
    <w:rsid w:val="00E8464C"/>
    <w:rsid w:val="00E85189"/>
    <w:rsid w:val="00E85C9A"/>
    <w:rsid w:val="00E85D2E"/>
    <w:rsid w:val="00E85DD5"/>
    <w:rsid w:val="00E861E5"/>
    <w:rsid w:val="00E8761A"/>
    <w:rsid w:val="00E908DF"/>
    <w:rsid w:val="00E921F3"/>
    <w:rsid w:val="00E92343"/>
    <w:rsid w:val="00E92391"/>
    <w:rsid w:val="00E923A2"/>
    <w:rsid w:val="00E92FF6"/>
    <w:rsid w:val="00E95F7F"/>
    <w:rsid w:val="00E961A5"/>
    <w:rsid w:val="00E97711"/>
    <w:rsid w:val="00EA0615"/>
    <w:rsid w:val="00EA2F72"/>
    <w:rsid w:val="00EA34C5"/>
    <w:rsid w:val="00EA4F1C"/>
    <w:rsid w:val="00EA6269"/>
    <w:rsid w:val="00EA62DE"/>
    <w:rsid w:val="00EA638D"/>
    <w:rsid w:val="00EA65B8"/>
    <w:rsid w:val="00EA6C9F"/>
    <w:rsid w:val="00EB0C0A"/>
    <w:rsid w:val="00EB1B79"/>
    <w:rsid w:val="00EB236F"/>
    <w:rsid w:val="00EB6CC7"/>
    <w:rsid w:val="00EC0F67"/>
    <w:rsid w:val="00EC359F"/>
    <w:rsid w:val="00EC5249"/>
    <w:rsid w:val="00EC6FDD"/>
    <w:rsid w:val="00ED13EB"/>
    <w:rsid w:val="00ED3533"/>
    <w:rsid w:val="00ED7A29"/>
    <w:rsid w:val="00EE0D99"/>
    <w:rsid w:val="00EE173C"/>
    <w:rsid w:val="00EE1C29"/>
    <w:rsid w:val="00EE2CBB"/>
    <w:rsid w:val="00EE3BB7"/>
    <w:rsid w:val="00EE4E35"/>
    <w:rsid w:val="00EE583C"/>
    <w:rsid w:val="00EE5B6A"/>
    <w:rsid w:val="00EE69AF"/>
    <w:rsid w:val="00EF14A7"/>
    <w:rsid w:val="00EF1AB3"/>
    <w:rsid w:val="00EF1D27"/>
    <w:rsid w:val="00EF2F5C"/>
    <w:rsid w:val="00EF4EC9"/>
    <w:rsid w:val="00EF5DAB"/>
    <w:rsid w:val="00F002BB"/>
    <w:rsid w:val="00F01F1A"/>
    <w:rsid w:val="00F02169"/>
    <w:rsid w:val="00F02463"/>
    <w:rsid w:val="00F03346"/>
    <w:rsid w:val="00F0445F"/>
    <w:rsid w:val="00F0524B"/>
    <w:rsid w:val="00F05A2E"/>
    <w:rsid w:val="00F06C2C"/>
    <w:rsid w:val="00F0716F"/>
    <w:rsid w:val="00F11013"/>
    <w:rsid w:val="00F12DC5"/>
    <w:rsid w:val="00F149A2"/>
    <w:rsid w:val="00F159F8"/>
    <w:rsid w:val="00F169A3"/>
    <w:rsid w:val="00F17062"/>
    <w:rsid w:val="00F24EF6"/>
    <w:rsid w:val="00F2615A"/>
    <w:rsid w:val="00F279B7"/>
    <w:rsid w:val="00F308F0"/>
    <w:rsid w:val="00F3406A"/>
    <w:rsid w:val="00F34556"/>
    <w:rsid w:val="00F36B4E"/>
    <w:rsid w:val="00F37149"/>
    <w:rsid w:val="00F41AAE"/>
    <w:rsid w:val="00F41E55"/>
    <w:rsid w:val="00F43306"/>
    <w:rsid w:val="00F4405F"/>
    <w:rsid w:val="00F445DF"/>
    <w:rsid w:val="00F46431"/>
    <w:rsid w:val="00F478AE"/>
    <w:rsid w:val="00F51255"/>
    <w:rsid w:val="00F52440"/>
    <w:rsid w:val="00F5411C"/>
    <w:rsid w:val="00F542DC"/>
    <w:rsid w:val="00F545FB"/>
    <w:rsid w:val="00F564BB"/>
    <w:rsid w:val="00F5694F"/>
    <w:rsid w:val="00F56A1D"/>
    <w:rsid w:val="00F57CE6"/>
    <w:rsid w:val="00F57EF3"/>
    <w:rsid w:val="00F607DA"/>
    <w:rsid w:val="00F62BB1"/>
    <w:rsid w:val="00F6422F"/>
    <w:rsid w:val="00F64944"/>
    <w:rsid w:val="00F65E7C"/>
    <w:rsid w:val="00F67EDF"/>
    <w:rsid w:val="00F71EC4"/>
    <w:rsid w:val="00F72FC3"/>
    <w:rsid w:val="00F7429B"/>
    <w:rsid w:val="00F7505B"/>
    <w:rsid w:val="00F77F9B"/>
    <w:rsid w:val="00F81231"/>
    <w:rsid w:val="00F81559"/>
    <w:rsid w:val="00F835CF"/>
    <w:rsid w:val="00F85B74"/>
    <w:rsid w:val="00F861D8"/>
    <w:rsid w:val="00F868F4"/>
    <w:rsid w:val="00F901A1"/>
    <w:rsid w:val="00F91F28"/>
    <w:rsid w:val="00F92AEC"/>
    <w:rsid w:val="00F92FC8"/>
    <w:rsid w:val="00F937D8"/>
    <w:rsid w:val="00F9668B"/>
    <w:rsid w:val="00FA0D4A"/>
    <w:rsid w:val="00FA176E"/>
    <w:rsid w:val="00FA3758"/>
    <w:rsid w:val="00FA7C7B"/>
    <w:rsid w:val="00FB0B66"/>
    <w:rsid w:val="00FB1F37"/>
    <w:rsid w:val="00FB2193"/>
    <w:rsid w:val="00FB2478"/>
    <w:rsid w:val="00FB3E40"/>
    <w:rsid w:val="00FB46B8"/>
    <w:rsid w:val="00FB51E9"/>
    <w:rsid w:val="00FB596F"/>
    <w:rsid w:val="00FB6C7A"/>
    <w:rsid w:val="00FC002E"/>
    <w:rsid w:val="00FC372E"/>
    <w:rsid w:val="00FC3E2E"/>
    <w:rsid w:val="00FC7017"/>
    <w:rsid w:val="00FC7B3D"/>
    <w:rsid w:val="00FD2787"/>
    <w:rsid w:val="00FD378B"/>
    <w:rsid w:val="00FD651D"/>
    <w:rsid w:val="00FD7E8C"/>
    <w:rsid w:val="00FE131E"/>
    <w:rsid w:val="00FE2602"/>
    <w:rsid w:val="00FE64F5"/>
    <w:rsid w:val="00FE66B6"/>
    <w:rsid w:val="00FE7672"/>
    <w:rsid w:val="00FE7FAA"/>
    <w:rsid w:val="00FF0A04"/>
    <w:rsid w:val="00FF28F6"/>
    <w:rsid w:val="00FF2ABE"/>
    <w:rsid w:val="00FF2BE4"/>
    <w:rsid w:val="00FF3CC0"/>
    <w:rsid w:val="00FF5479"/>
    <w:rsid w:val="01590644"/>
    <w:rsid w:val="03031C9C"/>
    <w:rsid w:val="037A4AF2"/>
    <w:rsid w:val="03AC6453"/>
    <w:rsid w:val="06E54B10"/>
    <w:rsid w:val="071830B3"/>
    <w:rsid w:val="08180913"/>
    <w:rsid w:val="08487E2E"/>
    <w:rsid w:val="097961CA"/>
    <w:rsid w:val="0A333101"/>
    <w:rsid w:val="0B0D23FD"/>
    <w:rsid w:val="0C542351"/>
    <w:rsid w:val="154126EF"/>
    <w:rsid w:val="15ED760B"/>
    <w:rsid w:val="19D9450F"/>
    <w:rsid w:val="1ABF27C1"/>
    <w:rsid w:val="1AD45E11"/>
    <w:rsid w:val="1D012430"/>
    <w:rsid w:val="21FB0DC2"/>
    <w:rsid w:val="22B97499"/>
    <w:rsid w:val="230D3135"/>
    <w:rsid w:val="268E6DE4"/>
    <w:rsid w:val="29ED4157"/>
    <w:rsid w:val="2B2341D4"/>
    <w:rsid w:val="2F470126"/>
    <w:rsid w:val="30EA3D80"/>
    <w:rsid w:val="3170278B"/>
    <w:rsid w:val="32194741"/>
    <w:rsid w:val="37FFE6C3"/>
    <w:rsid w:val="3BC52C1E"/>
    <w:rsid w:val="3EAD4697"/>
    <w:rsid w:val="4104255B"/>
    <w:rsid w:val="41B1237D"/>
    <w:rsid w:val="42FB6763"/>
    <w:rsid w:val="44EC561F"/>
    <w:rsid w:val="460873ED"/>
    <w:rsid w:val="49533F23"/>
    <w:rsid w:val="495B1666"/>
    <w:rsid w:val="4B6A5254"/>
    <w:rsid w:val="4FBED40B"/>
    <w:rsid w:val="51846D2D"/>
    <w:rsid w:val="52AD2327"/>
    <w:rsid w:val="535768CE"/>
    <w:rsid w:val="54BB6B2D"/>
    <w:rsid w:val="573A3726"/>
    <w:rsid w:val="57F80EAF"/>
    <w:rsid w:val="58A2012E"/>
    <w:rsid w:val="59AC635D"/>
    <w:rsid w:val="59B54439"/>
    <w:rsid w:val="5BD05865"/>
    <w:rsid w:val="5DE54672"/>
    <w:rsid w:val="61924835"/>
    <w:rsid w:val="61E33EEC"/>
    <w:rsid w:val="639A4675"/>
    <w:rsid w:val="654E14D3"/>
    <w:rsid w:val="66F89C67"/>
    <w:rsid w:val="693F1893"/>
    <w:rsid w:val="72C57649"/>
    <w:rsid w:val="78A80014"/>
    <w:rsid w:val="792B4B56"/>
    <w:rsid w:val="79A809B2"/>
    <w:rsid w:val="7B8F7195"/>
    <w:rsid w:val="7CFB8BF3"/>
    <w:rsid w:val="7D103973"/>
    <w:rsid w:val="7EF5CBC5"/>
    <w:rsid w:val="9FF3DD40"/>
    <w:rsid w:val="DDFDABFE"/>
    <w:rsid w:val="DE3F2942"/>
    <w:rsid w:val="EDE79627"/>
    <w:rsid w:val="F4FA9A47"/>
    <w:rsid w:val="FF7727A5"/>
    <w:rsid w:val="FFBDE70E"/>
    <w:rsid w:val="FFFF7F1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qFormat="1" w:uiPriority="99" w:semiHidden="0" w:name="footnote reference"/>
    <w:lsdException w:qFormat="1" w:uiPriority="99" w:semiHidden="0" w:name="annotation reference"/>
    <w:lsdException w:uiPriority="0" w:name="line number"/>
    <w:lsdException w:uiPriority="0" w:name="page number"/>
    <w:lsdException w:qFormat="1" w:uiPriority="0" w:semiHidden="0" w:name="endnote reference"/>
    <w:lsdException w:qFormat="1" w:uiPriority="0"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63"/>
    <w:qFormat/>
    <w:uiPriority w:val="9"/>
    <w:pPr>
      <w:keepNext/>
      <w:keepLines/>
      <w:numPr>
        <w:ilvl w:val="0"/>
        <w:numId w:val="1"/>
      </w:numPr>
      <w:spacing w:beforeLines="100" w:afterLines="100"/>
      <w:ind w:firstLine="0" w:firstLineChars="0"/>
      <w:outlineLvl w:val="0"/>
    </w:pPr>
    <w:rPr>
      <w:rFonts w:ascii="黑体" w:hAnsi="黑体" w:eastAsia="黑体" w:cs="黑体"/>
      <w:b/>
      <w:bCs/>
      <w:kern w:val="44"/>
      <w:szCs w:val="32"/>
    </w:rPr>
  </w:style>
  <w:style w:type="paragraph" w:styleId="3">
    <w:name w:val="heading 2"/>
    <w:basedOn w:val="1"/>
    <w:next w:val="1"/>
    <w:link w:val="69"/>
    <w:unhideWhenUsed/>
    <w:qFormat/>
    <w:uiPriority w:val="9"/>
    <w:pPr>
      <w:keepNext/>
      <w:keepLines/>
      <w:spacing w:line="600" w:lineRule="exact"/>
      <w:ind w:firstLine="643"/>
      <w:outlineLvl w:val="1"/>
    </w:pPr>
    <w:rPr>
      <w:rFonts w:ascii="楷体" w:hAnsi="楷体" w:eastAsia="楷体"/>
      <w:b/>
      <w:bCs/>
      <w:szCs w:val="32"/>
    </w:rPr>
  </w:style>
  <w:style w:type="paragraph" w:styleId="4">
    <w:name w:val="heading 3"/>
    <w:basedOn w:val="5"/>
    <w:next w:val="1"/>
    <w:link w:val="64"/>
    <w:unhideWhenUsed/>
    <w:qFormat/>
    <w:uiPriority w:val="9"/>
    <w:pPr>
      <w:numPr>
        <w:ilvl w:val="0"/>
        <w:numId w:val="2"/>
      </w:numPr>
      <w:ind w:firstLine="0" w:firstLineChars="0"/>
      <w:outlineLvl w:val="2"/>
    </w:pPr>
    <w:rPr>
      <w:b/>
    </w:rPr>
  </w:style>
  <w:style w:type="character" w:default="1" w:styleId="29">
    <w:name w:val="Default Paragraph Font"/>
    <w:unhideWhenUsed/>
    <w:uiPriority w:val="1"/>
  </w:style>
  <w:style w:type="table" w:default="1" w:styleId="35">
    <w:name w:val="Normal Table"/>
    <w:unhideWhenUsed/>
    <w:uiPriority w:val="99"/>
    <w:tblPr>
      <w:tblStyle w:val="35"/>
      <w:tblLayout w:type="fixed"/>
      <w:tblCellMar>
        <w:top w:w="0" w:type="dxa"/>
        <w:left w:w="108" w:type="dxa"/>
        <w:bottom w:w="0" w:type="dxa"/>
        <w:right w:w="108" w:type="dxa"/>
      </w:tblCellMar>
    </w:tblPr>
  </w:style>
  <w:style w:type="paragraph" w:customStyle="1" w:styleId="5">
    <w:name w:val="规划正文"/>
    <w:basedOn w:val="1"/>
    <w:qFormat/>
    <w:uiPriority w:val="0"/>
    <w:pPr>
      <w:ind w:firstLine="600"/>
    </w:pPr>
    <w:rPr>
      <w:rFonts w:ascii="仿宋_GB2312" w:hAnsi="华文仿宋"/>
      <w:szCs w:val="30"/>
    </w:rPr>
  </w:style>
  <w:style w:type="paragraph" w:styleId="6">
    <w:name w:val="toc 7"/>
    <w:basedOn w:val="1"/>
    <w:next w:val="1"/>
    <w:unhideWhenUsed/>
    <w:qFormat/>
    <w:uiPriority w:val="39"/>
    <w:pPr>
      <w:spacing w:line="240" w:lineRule="auto"/>
      <w:ind w:left="2520" w:leftChars="1200" w:firstLine="0" w:firstLineChars="0"/>
    </w:pPr>
    <w:rPr>
      <w:rFonts w:ascii="等线" w:hAnsi="等线" w:eastAsia="等线" w:cs="黑体"/>
      <w:sz w:val="21"/>
      <w:szCs w:val="22"/>
    </w:rPr>
  </w:style>
  <w:style w:type="paragraph" w:styleId="7">
    <w:name w:val="Body Text First Indent"/>
    <w:next w:val="1"/>
    <w:qFormat/>
    <w:uiPriority w:val="99"/>
    <w:pPr>
      <w:widowControl w:val="0"/>
      <w:autoSpaceDE w:val="0"/>
      <w:autoSpaceDN w:val="0"/>
      <w:adjustRightInd w:val="0"/>
      <w:spacing w:line="600" w:lineRule="atLeast"/>
      <w:ind w:firstLine="652" w:firstLineChars="200"/>
      <w:jc w:val="both"/>
      <w:textAlignment w:val="baseline"/>
    </w:pPr>
    <w:rPr>
      <w:rFonts w:ascii="Times New Roman" w:hAnsi="Times New Roman" w:eastAsia="仿宋_GB2312" w:cs="黑体"/>
      <w:sz w:val="32"/>
      <w:szCs w:val="32"/>
      <w:lang w:val="en-US" w:eastAsia="zh-CN" w:bidi="ar-SA"/>
    </w:rPr>
  </w:style>
  <w:style w:type="paragraph" w:styleId="8">
    <w:name w:val="caption"/>
    <w:basedOn w:val="1"/>
    <w:next w:val="1"/>
    <w:unhideWhenUsed/>
    <w:qFormat/>
    <w:uiPriority w:val="35"/>
    <w:pPr>
      <w:spacing w:beforeLines="50" w:afterLines="50"/>
      <w:ind w:firstLine="0" w:firstLineChars="0"/>
      <w:jc w:val="center"/>
    </w:pPr>
    <w:rPr>
      <w:rFonts w:ascii="等线 Light" w:hAnsi="等线 Light" w:eastAsia="黑体" w:cs="黑体"/>
      <w:b/>
      <w:sz w:val="24"/>
    </w:rPr>
  </w:style>
  <w:style w:type="paragraph" w:styleId="9">
    <w:name w:val="Document Map"/>
    <w:basedOn w:val="1"/>
    <w:link w:val="74"/>
    <w:unhideWhenUsed/>
    <w:qFormat/>
    <w:uiPriority w:val="99"/>
    <w:rPr>
      <w:rFonts w:ascii="宋体" w:eastAsia="宋体"/>
      <w:sz w:val="18"/>
      <w:szCs w:val="18"/>
    </w:rPr>
  </w:style>
  <w:style w:type="paragraph" w:styleId="10">
    <w:name w:val="annotation text"/>
    <w:basedOn w:val="1"/>
    <w:link w:val="78"/>
    <w:unhideWhenUsed/>
    <w:qFormat/>
    <w:uiPriority w:val="99"/>
    <w:pPr>
      <w:spacing w:line="240" w:lineRule="auto"/>
      <w:ind w:firstLine="0" w:firstLineChars="0"/>
      <w:jc w:val="left"/>
    </w:pPr>
    <w:rPr>
      <w:rFonts w:ascii="Calibri" w:hAnsi="Calibri" w:eastAsia="宋体"/>
      <w:kern w:val="0"/>
      <w:sz w:val="20"/>
      <w:szCs w:val="20"/>
    </w:rPr>
  </w:style>
  <w:style w:type="paragraph" w:styleId="11">
    <w:name w:val="Body Text"/>
    <w:next w:val="7"/>
    <w:qFormat/>
    <w:uiPriority w:val="99"/>
    <w:pPr>
      <w:widowControl w:val="0"/>
      <w:spacing w:after="120" w:line="360" w:lineRule="auto"/>
      <w:ind w:firstLine="420" w:firstLineChars="200"/>
      <w:jc w:val="both"/>
    </w:pPr>
    <w:rPr>
      <w:rFonts w:ascii="Times New Roman" w:hAnsi="Times New Roman" w:eastAsia="仿宋_GB2312" w:cs="黑体"/>
      <w:kern w:val="2"/>
      <w:sz w:val="32"/>
      <w:szCs w:val="24"/>
      <w:lang w:val="en-US" w:eastAsia="zh-CN" w:bidi="ar-SA"/>
    </w:rPr>
  </w:style>
  <w:style w:type="paragraph" w:styleId="12">
    <w:name w:val="Body Text Indent"/>
    <w:basedOn w:val="1"/>
    <w:link w:val="76"/>
    <w:unhideWhenUsed/>
    <w:qFormat/>
    <w:uiPriority w:val="99"/>
    <w:pPr>
      <w:spacing w:line="240" w:lineRule="auto"/>
      <w:ind w:firstLine="627" w:firstLineChars="196"/>
    </w:pPr>
  </w:style>
  <w:style w:type="paragraph" w:styleId="13">
    <w:name w:val="toc 5"/>
    <w:basedOn w:val="1"/>
    <w:next w:val="1"/>
    <w:unhideWhenUsed/>
    <w:qFormat/>
    <w:uiPriority w:val="39"/>
    <w:pPr>
      <w:spacing w:line="240" w:lineRule="auto"/>
      <w:ind w:left="1680" w:leftChars="800" w:firstLine="0" w:firstLineChars="0"/>
    </w:pPr>
    <w:rPr>
      <w:rFonts w:ascii="等线" w:hAnsi="等线" w:eastAsia="等线" w:cs="黑体"/>
      <w:sz w:val="21"/>
      <w:szCs w:val="22"/>
    </w:rPr>
  </w:style>
  <w:style w:type="paragraph" w:styleId="14">
    <w:name w:val="toc 3"/>
    <w:basedOn w:val="1"/>
    <w:next w:val="1"/>
    <w:unhideWhenUsed/>
    <w:qFormat/>
    <w:uiPriority w:val="39"/>
    <w:pPr>
      <w:widowControl/>
      <w:spacing w:after="100" w:line="259" w:lineRule="auto"/>
      <w:ind w:left="440" w:firstLine="0" w:firstLineChars="0"/>
      <w:jc w:val="left"/>
    </w:pPr>
    <w:rPr>
      <w:rFonts w:ascii="等线" w:hAnsi="等线" w:eastAsia="等线"/>
      <w:kern w:val="0"/>
      <w:sz w:val="22"/>
      <w:szCs w:val="22"/>
    </w:rPr>
  </w:style>
  <w:style w:type="paragraph" w:styleId="15">
    <w:name w:val="toc 8"/>
    <w:basedOn w:val="1"/>
    <w:next w:val="1"/>
    <w:unhideWhenUsed/>
    <w:qFormat/>
    <w:uiPriority w:val="39"/>
    <w:pPr>
      <w:spacing w:line="240" w:lineRule="auto"/>
      <w:ind w:left="2940" w:leftChars="1400" w:firstLine="0" w:firstLineChars="0"/>
    </w:pPr>
    <w:rPr>
      <w:rFonts w:ascii="等线" w:hAnsi="等线" w:eastAsia="等线" w:cs="黑体"/>
      <w:sz w:val="21"/>
      <w:szCs w:val="22"/>
    </w:rPr>
  </w:style>
  <w:style w:type="paragraph" w:styleId="16">
    <w:name w:val="endnote text"/>
    <w:basedOn w:val="1"/>
    <w:link w:val="79"/>
    <w:unhideWhenUsed/>
    <w:qFormat/>
    <w:uiPriority w:val="0"/>
    <w:pPr>
      <w:snapToGrid w:val="0"/>
      <w:jc w:val="left"/>
    </w:pPr>
  </w:style>
  <w:style w:type="paragraph" w:styleId="17">
    <w:name w:val="Balloon Text"/>
    <w:basedOn w:val="1"/>
    <w:link w:val="72"/>
    <w:unhideWhenUsed/>
    <w:qFormat/>
    <w:uiPriority w:val="99"/>
    <w:pPr>
      <w:spacing w:line="240" w:lineRule="auto"/>
    </w:pPr>
    <w:rPr>
      <w:sz w:val="18"/>
      <w:szCs w:val="18"/>
    </w:rPr>
  </w:style>
  <w:style w:type="paragraph" w:styleId="18">
    <w:name w:val="footer"/>
    <w:basedOn w:val="1"/>
    <w:link w:val="71"/>
    <w:unhideWhenUsed/>
    <w:qFormat/>
    <w:uiPriority w:val="99"/>
    <w:pPr>
      <w:tabs>
        <w:tab w:val="center" w:pos="4153"/>
        <w:tab w:val="right" w:pos="8306"/>
      </w:tabs>
      <w:snapToGrid w:val="0"/>
      <w:spacing w:line="240" w:lineRule="atLeast"/>
      <w:jc w:val="left"/>
    </w:pPr>
    <w:rPr>
      <w:sz w:val="18"/>
      <w:szCs w:val="18"/>
    </w:rPr>
  </w:style>
  <w:style w:type="paragraph" w:styleId="19">
    <w:name w:val="header"/>
    <w:basedOn w:val="1"/>
    <w:link w:val="7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20">
    <w:name w:val="toc 1"/>
    <w:basedOn w:val="1"/>
    <w:next w:val="1"/>
    <w:unhideWhenUsed/>
    <w:qFormat/>
    <w:uiPriority w:val="39"/>
    <w:pPr>
      <w:tabs>
        <w:tab w:val="right" w:leader="dot" w:pos="8296"/>
      </w:tabs>
      <w:ind w:firstLine="0" w:firstLineChars="0"/>
    </w:pPr>
    <w:rPr>
      <w:b/>
      <w:bCs/>
    </w:rPr>
  </w:style>
  <w:style w:type="paragraph" w:styleId="21">
    <w:name w:val="toc 4"/>
    <w:basedOn w:val="1"/>
    <w:next w:val="1"/>
    <w:unhideWhenUsed/>
    <w:qFormat/>
    <w:uiPriority w:val="39"/>
    <w:pPr>
      <w:spacing w:line="240" w:lineRule="auto"/>
      <w:ind w:left="1260" w:leftChars="600" w:firstLine="0" w:firstLineChars="0"/>
    </w:pPr>
    <w:rPr>
      <w:rFonts w:ascii="等线" w:hAnsi="等线" w:eastAsia="等线" w:cs="黑体"/>
      <w:sz w:val="21"/>
      <w:szCs w:val="22"/>
    </w:rPr>
  </w:style>
  <w:style w:type="paragraph" w:styleId="22">
    <w:name w:val="Subtitle"/>
    <w:basedOn w:val="1"/>
    <w:next w:val="1"/>
    <w:link w:val="67"/>
    <w:qFormat/>
    <w:uiPriority w:val="11"/>
    <w:pPr>
      <w:jc w:val="center"/>
    </w:pPr>
    <w:rPr>
      <w:rFonts w:ascii="仿宋_GB2312"/>
      <w:sz w:val="40"/>
      <w:szCs w:val="32"/>
    </w:rPr>
  </w:style>
  <w:style w:type="paragraph" w:styleId="23">
    <w:name w:val="footnote text"/>
    <w:basedOn w:val="1"/>
    <w:link w:val="73"/>
    <w:unhideWhenUsed/>
    <w:qFormat/>
    <w:uiPriority w:val="99"/>
    <w:pPr>
      <w:snapToGrid w:val="0"/>
      <w:jc w:val="left"/>
    </w:pPr>
    <w:rPr>
      <w:sz w:val="18"/>
    </w:rPr>
  </w:style>
  <w:style w:type="paragraph" w:styleId="24">
    <w:name w:val="toc 6"/>
    <w:basedOn w:val="1"/>
    <w:next w:val="1"/>
    <w:unhideWhenUsed/>
    <w:qFormat/>
    <w:uiPriority w:val="39"/>
    <w:pPr>
      <w:spacing w:line="240" w:lineRule="auto"/>
      <w:ind w:left="2100" w:leftChars="1000" w:firstLine="0" w:firstLineChars="0"/>
    </w:pPr>
    <w:rPr>
      <w:rFonts w:ascii="等线" w:hAnsi="等线" w:eastAsia="等线" w:cs="黑体"/>
      <w:sz w:val="21"/>
      <w:szCs w:val="22"/>
    </w:rPr>
  </w:style>
  <w:style w:type="paragraph" w:styleId="25">
    <w:name w:val="toc 2"/>
    <w:basedOn w:val="1"/>
    <w:next w:val="1"/>
    <w:unhideWhenUsed/>
    <w:qFormat/>
    <w:uiPriority w:val="39"/>
    <w:pPr>
      <w:ind w:left="420" w:leftChars="200"/>
    </w:pPr>
  </w:style>
  <w:style w:type="paragraph" w:styleId="26">
    <w:name w:val="toc 9"/>
    <w:basedOn w:val="1"/>
    <w:next w:val="1"/>
    <w:unhideWhenUsed/>
    <w:qFormat/>
    <w:uiPriority w:val="39"/>
    <w:pPr>
      <w:spacing w:line="240" w:lineRule="auto"/>
      <w:ind w:left="3360" w:leftChars="1600" w:firstLine="0" w:firstLineChars="0"/>
    </w:pPr>
    <w:rPr>
      <w:rFonts w:ascii="等线" w:hAnsi="等线" w:eastAsia="等线" w:cs="黑体"/>
      <w:sz w:val="21"/>
      <w:szCs w:val="22"/>
    </w:rPr>
  </w:style>
  <w:style w:type="paragraph" w:styleId="27">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28">
    <w:name w:val="Title"/>
    <w:basedOn w:val="1"/>
    <w:next w:val="1"/>
    <w:link w:val="66"/>
    <w:qFormat/>
    <w:uiPriority w:val="10"/>
    <w:pPr>
      <w:spacing w:line="360" w:lineRule="auto"/>
      <w:ind w:firstLine="0" w:firstLineChars="0"/>
      <w:jc w:val="center"/>
    </w:pPr>
    <w:rPr>
      <w:rFonts w:ascii="仿宋_GB2312"/>
      <w:b/>
      <w:sz w:val="52"/>
      <w:szCs w:val="52"/>
    </w:rPr>
  </w:style>
  <w:style w:type="character" w:styleId="30">
    <w:name w:val="endnote reference"/>
    <w:basedOn w:val="29"/>
    <w:unhideWhenUsed/>
    <w:qFormat/>
    <w:uiPriority w:val="0"/>
    <w:rPr>
      <w:vertAlign w:val="superscript"/>
    </w:rPr>
  </w:style>
  <w:style w:type="character" w:styleId="31">
    <w:name w:val="Emphasis"/>
    <w:basedOn w:val="29"/>
    <w:qFormat/>
    <w:uiPriority w:val="20"/>
    <w:rPr>
      <w:i/>
      <w:iCs/>
    </w:rPr>
  </w:style>
  <w:style w:type="character" w:styleId="32">
    <w:name w:val="Hyperlink"/>
    <w:basedOn w:val="29"/>
    <w:unhideWhenUsed/>
    <w:qFormat/>
    <w:uiPriority w:val="99"/>
    <w:rPr>
      <w:color w:val="0000FF"/>
      <w:u w:val="single"/>
    </w:rPr>
  </w:style>
  <w:style w:type="character" w:styleId="33">
    <w:name w:val="annotation reference"/>
    <w:basedOn w:val="29"/>
    <w:unhideWhenUsed/>
    <w:qFormat/>
    <w:uiPriority w:val="99"/>
    <w:rPr>
      <w:sz w:val="21"/>
      <w:szCs w:val="21"/>
    </w:rPr>
  </w:style>
  <w:style w:type="character" w:styleId="34">
    <w:name w:val="footnote reference"/>
    <w:basedOn w:val="29"/>
    <w:unhideWhenUsed/>
    <w:qFormat/>
    <w:uiPriority w:val="99"/>
    <w:rPr>
      <w:vertAlign w:val="superscript"/>
    </w:rPr>
  </w:style>
  <w:style w:type="table" w:styleId="36">
    <w:name w:val="Table Grid"/>
    <w:basedOn w:val="35"/>
    <w:qFormat/>
    <w:uiPriority w:val="39"/>
    <w:pPr/>
    <w:tblPr>
      <w:tblStyle w:val="3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37">
    <w:name w:val="正标2级3"/>
    <w:basedOn w:val="38"/>
    <w:next w:val="41"/>
    <w:link w:val="65"/>
    <w:qFormat/>
    <w:uiPriority w:val="0"/>
  </w:style>
  <w:style w:type="paragraph" w:customStyle="1" w:styleId="38">
    <w:name w:val="正标2级2"/>
    <w:basedOn w:val="39"/>
    <w:next w:val="40"/>
    <w:qFormat/>
    <w:uiPriority w:val="0"/>
    <w:pPr>
      <w:numPr>
        <w:ilvl w:val="0"/>
        <w:numId w:val="0"/>
      </w:numPr>
      <w:ind w:firstLine="1216" w:firstLineChars="200"/>
    </w:pPr>
  </w:style>
  <w:style w:type="paragraph" w:customStyle="1" w:styleId="39">
    <w:name w:val="正标2级1"/>
    <w:basedOn w:val="1"/>
    <w:next w:val="40"/>
    <w:qFormat/>
    <w:uiPriority w:val="0"/>
    <w:pPr>
      <w:numPr>
        <w:ilvl w:val="0"/>
        <w:numId w:val="3"/>
      </w:numPr>
      <w:spacing w:line="570" w:lineRule="exact"/>
      <w:ind w:firstLine="1216"/>
    </w:pPr>
    <w:rPr>
      <w:rFonts w:eastAsia="楷体_GB2312"/>
      <w:b/>
      <w:bCs/>
      <w:szCs w:val="32"/>
    </w:rPr>
  </w:style>
  <w:style w:type="paragraph" w:customStyle="1" w:styleId="40">
    <w:name w:val="正文1.1"/>
    <w:basedOn w:val="1"/>
    <w:qFormat/>
    <w:uiPriority w:val="0"/>
    <w:pPr>
      <w:spacing w:line="570" w:lineRule="exact"/>
      <w:ind w:firstLine="1216"/>
    </w:pPr>
    <w:rPr>
      <w:szCs w:val="32"/>
    </w:rPr>
  </w:style>
  <w:style w:type="paragraph" w:customStyle="1" w:styleId="41">
    <w:name w:val="正标3级"/>
    <w:basedOn w:val="40"/>
    <w:qFormat/>
    <w:uiPriority w:val="0"/>
    <w:pPr>
      <w:numPr>
        <w:ilvl w:val="0"/>
        <w:numId w:val="4"/>
      </w:numPr>
    </w:pPr>
    <w:rPr>
      <w:b/>
      <w:bCs/>
    </w:rPr>
  </w:style>
  <w:style w:type="paragraph" w:customStyle="1" w:styleId="42">
    <w:name w:val="落款"/>
    <w:basedOn w:val="1"/>
    <w:link w:val="68"/>
    <w:qFormat/>
    <w:uiPriority w:val="0"/>
    <w:pPr>
      <w:spacing w:line="360" w:lineRule="auto"/>
      <w:jc w:val="center"/>
    </w:pPr>
    <w:rPr>
      <w:rFonts w:eastAsia="楷体_GB2312"/>
      <w:b/>
      <w:color w:val="000000"/>
      <w:szCs w:val="32"/>
    </w:rPr>
  </w:style>
  <w:style w:type="paragraph" w:customStyle="1" w:styleId="43">
    <w:name w:val="目录"/>
    <w:basedOn w:val="1"/>
    <w:qFormat/>
    <w:uiPriority w:val="0"/>
    <w:pPr>
      <w:ind w:firstLine="723"/>
      <w:jc w:val="center"/>
    </w:pPr>
    <w:rPr>
      <w:rFonts w:ascii="黑体" w:hAnsi="黑体" w:eastAsia="黑体"/>
      <w:b/>
      <w:sz w:val="36"/>
      <w:szCs w:val="36"/>
    </w:rPr>
  </w:style>
  <w:style w:type="paragraph" w:customStyle="1" w:styleId="44">
    <w:name w:val="规划一级标题"/>
    <w:basedOn w:val="2"/>
    <w:next w:val="1"/>
    <w:qFormat/>
    <w:uiPriority w:val="0"/>
    <w:pPr>
      <w:spacing w:afterLines="50"/>
    </w:pPr>
  </w:style>
  <w:style w:type="paragraph" w:customStyle="1" w:styleId="45">
    <w:name w:val="规划二级标题"/>
    <w:basedOn w:val="3"/>
    <w:qFormat/>
    <w:uiPriority w:val="0"/>
    <w:pPr>
      <w:tabs>
        <w:tab w:val="left" w:pos="720"/>
      </w:tabs>
      <w:ind w:left="720" w:hanging="720"/>
    </w:pPr>
  </w:style>
  <w:style w:type="paragraph" w:customStyle="1" w:styleId="46">
    <w:name w:val="Default"/>
    <w:qFormat/>
    <w:uiPriority w:val="0"/>
    <w:pPr>
      <w:widowControl w:val="0"/>
      <w:autoSpaceDE w:val="0"/>
      <w:autoSpaceDN w:val="0"/>
      <w:adjustRightInd w:val="0"/>
    </w:pPr>
    <w:rPr>
      <w:rFonts w:ascii="仿宋" w:hAnsi="等线" w:eastAsia="仿宋" w:cs="仿宋"/>
      <w:color w:val="000000"/>
      <w:sz w:val="24"/>
      <w:szCs w:val="24"/>
      <w:lang w:val="en-US" w:eastAsia="zh-CN" w:bidi="ar-SA"/>
    </w:rPr>
  </w:style>
  <w:style w:type="paragraph" w:customStyle="1" w:styleId="47">
    <w:name w:val="列表段落1"/>
    <w:basedOn w:val="1"/>
    <w:qFormat/>
    <w:uiPriority w:val="34"/>
    <w:pPr>
      <w:spacing w:line="240" w:lineRule="auto"/>
      <w:ind w:firstLine="420"/>
    </w:pPr>
    <w:rPr>
      <w:rFonts w:eastAsia="宋体"/>
      <w:sz w:val="21"/>
    </w:rPr>
  </w:style>
  <w:style w:type="paragraph" w:customStyle="1" w:styleId="48">
    <w:name w:val="WPSOffice手动目录 1"/>
    <w:qFormat/>
    <w:uiPriority w:val="0"/>
    <w:rPr>
      <w:rFonts w:ascii="Times New Roman" w:hAnsi="Times New Roman" w:eastAsia="宋体" w:cs="Times New Roman"/>
      <w:lang w:val="en-US" w:eastAsia="zh-CN" w:bidi="ar-SA"/>
    </w:rPr>
  </w:style>
  <w:style w:type="paragraph" w:customStyle="1" w:styleId="4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0">
    <w:name w:val="_Style 1"/>
    <w:basedOn w:val="1"/>
    <w:qFormat/>
    <w:uiPriority w:val="0"/>
    <w:pPr>
      <w:spacing w:line="240" w:lineRule="auto"/>
      <w:ind w:firstLine="0" w:firstLineChars="0"/>
    </w:pPr>
    <w:rPr>
      <w:rFonts w:eastAsia="宋体"/>
      <w:sz w:val="21"/>
      <w:szCs w:val="20"/>
    </w:rPr>
  </w:style>
  <w:style w:type="paragraph" w:customStyle="1" w:styleId="51">
    <w:name w:val="工信院正文"/>
    <w:basedOn w:val="1"/>
    <w:qFormat/>
    <w:uiPriority w:val="0"/>
    <w:pPr>
      <w:spacing w:line="360" w:lineRule="auto"/>
    </w:pPr>
    <w:rPr>
      <w:rFonts w:eastAsia="仿宋"/>
      <w:szCs w:val="32"/>
    </w:rPr>
  </w:style>
  <w:style w:type="paragraph" w:customStyle="1" w:styleId="52">
    <w:name w:val="Char Char Char Char Char Char Char Char Char Char Char Char Char"/>
    <w:basedOn w:val="1"/>
    <w:qFormat/>
    <w:uiPriority w:val="0"/>
    <w:pPr>
      <w:widowControl/>
      <w:spacing w:after="160" w:line="240" w:lineRule="exact"/>
      <w:ind w:firstLine="0" w:firstLineChars="0"/>
      <w:jc w:val="left"/>
    </w:pPr>
    <w:rPr>
      <w:rFonts w:ascii="Calibri" w:hAnsi="Calibri" w:eastAsia="宋体"/>
      <w:sz w:val="21"/>
      <w:szCs w:val="20"/>
    </w:rPr>
  </w:style>
  <w:style w:type="paragraph" w:customStyle="1" w:styleId="53">
    <w:name w:val="Char Char Char Char"/>
    <w:basedOn w:val="1"/>
    <w:qFormat/>
    <w:uiPriority w:val="0"/>
    <w:pPr>
      <w:widowControl/>
      <w:spacing w:after="160" w:line="240" w:lineRule="exact"/>
      <w:ind w:firstLine="0" w:firstLineChars="0"/>
      <w:jc w:val="left"/>
    </w:pPr>
    <w:rPr>
      <w:rFonts w:ascii="Verdana" w:hAnsi="Verdana" w:eastAsia="宋体"/>
      <w:kern w:val="0"/>
      <w:sz w:val="20"/>
      <w:szCs w:val="20"/>
      <w:lang w:eastAsia="en-US"/>
    </w:rPr>
  </w:style>
  <w:style w:type="paragraph" w:customStyle="1" w:styleId="54">
    <w:name w:val="Char"/>
    <w:basedOn w:val="1"/>
    <w:qFormat/>
    <w:uiPriority w:val="0"/>
    <w:pPr>
      <w:spacing w:line="240" w:lineRule="auto"/>
      <w:ind w:firstLine="0" w:firstLineChars="0"/>
    </w:pPr>
    <w:rPr>
      <w:rFonts w:ascii="仿宋_GB2312" w:eastAsia="宋体" w:cs="仿宋_GB2312"/>
      <w:b/>
      <w:sz w:val="21"/>
      <w:szCs w:val="32"/>
    </w:rPr>
  </w:style>
  <w:style w:type="paragraph" w:customStyle="1" w:styleId="55">
    <w:name w:val="TOC 标题1"/>
    <w:basedOn w:val="2"/>
    <w:next w:val="1"/>
    <w:unhideWhenUsed/>
    <w:qFormat/>
    <w:uiPriority w:val="39"/>
    <w:pPr>
      <w:widowControl/>
      <w:numPr>
        <w:ilvl w:val="0"/>
        <w:numId w:val="0"/>
      </w:numPr>
      <w:spacing w:before="240" w:beforeLines="0" w:afterLines="0" w:line="259" w:lineRule="auto"/>
      <w:jc w:val="left"/>
      <w:outlineLvl w:val="9"/>
    </w:pPr>
    <w:rPr>
      <w:rFonts w:ascii="等线 Light" w:hAnsi="等线 Light" w:eastAsia="等线 Light"/>
      <w:b w:val="0"/>
      <w:bCs w:val="0"/>
      <w:color w:val="2D73B3"/>
      <w:kern w:val="0"/>
    </w:rPr>
  </w:style>
  <w:style w:type="paragraph" w:customStyle="1" w:styleId="56">
    <w:name w:val="_Style 2"/>
    <w:basedOn w:val="1"/>
    <w:qFormat/>
    <w:uiPriority w:val="0"/>
    <w:pPr>
      <w:spacing w:line="240" w:lineRule="auto"/>
      <w:ind w:firstLine="0" w:firstLineChars="0"/>
    </w:pPr>
    <w:rPr>
      <w:rFonts w:eastAsia="宋体"/>
      <w:sz w:val="21"/>
      <w:szCs w:val="20"/>
    </w:rPr>
  </w:style>
  <w:style w:type="paragraph" w:customStyle="1" w:styleId="57">
    <w:name w:val="表格文字"/>
    <w:basedOn w:val="1"/>
    <w:next w:val="11"/>
    <w:qFormat/>
    <w:uiPriority w:val="0"/>
    <w:pPr>
      <w:adjustRightInd w:val="0"/>
      <w:spacing w:line="420" w:lineRule="atLeast"/>
      <w:ind w:firstLine="0" w:firstLineChars="0"/>
      <w:jc w:val="left"/>
      <w:textAlignment w:val="baseline"/>
    </w:pPr>
    <w:rPr>
      <w:rFonts w:eastAsia="宋体"/>
      <w:kern w:val="0"/>
      <w:sz w:val="21"/>
      <w:szCs w:val="22"/>
    </w:rPr>
  </w:style>
  <w:style w:type="paragraph" w:customStyle="1" w:styleId="58">
    <w:name w:val="union"/>
    <w:basedOn w:val="1"/>
    <w:qFormat/>
    <w:uiPriority w:val="0"/>
    <w:pPr>
      <w:widowControl/>
      <w:spacing w:beforeAutospacing="1" w:afterAutospacing="1"/>
      <w:jc w:val="left"/>
    </w:pPr>
    <w:rPr>
      <w:rFonts w:hint="eastAsia" w:ascii="宋体" w:hAnsi="宋体" w:eastAsia="宋体"/>
      <w:kern w:val="0"/>
      <w:sz w:val="24"/>
    </w:rPr>
  </w:style>
  <w:style w:type="paragraph" w:customStyle="1" w:styleId="59">
    <w:name w:val="正标1级"/>
    <w:basedOn w:val="1"/>
    <w:next w:val="40"/>
    <w:qFormat/>
    <w:uiPriority w:val="0"/>
    <w:pPr>
      <w:numPr>
        <w:ilvl w:val="0"/>
        <w:numId w:val="5"/>
      </w:numPr>
      <w:spacing w:line="570" w:lineRule="exact"/>
      <w:ind w:firstLine="0" w:firstLineChars="0"/>
    </w:pPr>
    <w:rPr>
      <w:rFonts w:eastAsia="黑体"/>
      <w:szCs w:val="32"/>
    </w:rPr>
  </w:style>
  <w:style w:type="paragraph" w:customStyle="1" w:styleId="60">
    <w:name w:val="Char Char Char Char Char Char2 Char Char Char Char"/>
    <w:basedOn w:val="1"/>
    <w:qFormat/>
    <w:uiPriority w:val="0"/>
    <w:pPr>
      <w:spacing w:line="240" w:lineRule="auto"/>
      <w:ind w:firstLine="0" w:firstLineChars="0"/>
    </w:pPr>
    <w:rPr>
      <w:rFonts w:eastAsia="宋体"/>
      <w:sz w:val="21"/>
      <w:szCs w:val="20"/>
    </w:rPr>
  </w:style>
  <w:style w:type="paragraph" w:customStyle="1" w:styleId="61">
    <w:name w:val="Char Char Char Char Char Char2 Char Char Char Char1"/>
    <w:basedOn w:val="1"/>
    <w:uiPriority w:val="0"/>
    <w:pPr>
      <w:spacing w:line="240" w:lineRule="auto"/>
      <w:ind w:firstLine="0" w:firstLineChars="0"/>
    </w:pPr>
    <w:rPr>
      <w:rFonts w:eastAsia="宋体"/>
      <w:sz w:val="21"/>
      <w:szCs w:val="20"/>
    </w:rPr>
  </w:style>
  <w:style w:type="paragraph" w:customStyle="1" w:styleId="62">
    <w:name w:val=" Char Char Char Char Char Char2 Char Char Char Char"/>
    <w:basedOn w:val="1"/>
    <w:uiPriority w:val="0"/>
    <w:pPr>
      <w:spacing w:line="240" w:lineRule="auto"/>
      <w:ind w:firstLine="0" w:firstLineChars="0"/>
    </w:pPr>
    <w:rPr>
      <w:rFonts w:eastAsia="宋体"/>
      <w:sz w:val="21"/>
      <w:szCs w:val="20"/>
    </w:rPr>
  </w:style>
  <w:style w:type="character" w:customStyle="1" w:styleId="63">
    <w:name w:val="标题 1 字符"/>
    <w:basedOn w:val="29"/>
    <w:link w:val="2"/>
    <w:qFormat/>
    <w:uiPriority w:val="9"/>
    <w:rPr>
      <w:rFonts w:ascii="黑体" w:hAnsi="黑体" w:eastAsia="黑体" w:cs="黑体"/>
      <w:b/>
      <w:bCs/>
      <w:kern w:val="44"/>
      <w:sz w:val="32"/>
      <w:szCs w:val="32"/>
    </w:rPr>
  </w:style>
  <w:style w:type="character" w:customStyle="1" w:styleId="64">
    <w:name w:val="标题 3 字符"/>
    <w:basedOn w:val="29"/>
    <w:link w:val="4"/>
    <w:qFormat/>
    <w:uiPriority w:val="9"/>
    <w:rPr>
      <w:rFonts w:ascii="仿宋_GB2312" w:hAnsi="华文仿宋" w:eastAsia="仿宋_GB2312"/>
      <w:b/>
      <w:kern w:val="2"/>
      <w:sz w:val="32"/>
      <w:szCs w:val="30"/>
    </w:rPr>
  </w:style>
  <w:style w:type="character" w:customStyle="1" w:styleId="65">
    <w:name w:val="正标2级3 Char"/>
    <w:link w:val="37"/>
    <w:qFormat/>
    <w:uiPriority w:val="0"/>
  </w:style>
  <w:style w:type="character" w:customStyle="1" w:styleId="66">
    <w:name w:val="标题 字符"/>
    <w:basedOn w:val="29"/>
    <w:link w:val="28"/>
    <w:qFormat/>
    <w:uiPriority w:val="10"/>
    <w:rPr>
      <w:rFonts w:ascii="仿宋_GB2312" w:hAnsi="Times New Roman" w:eastAsia="仿宋_GB2312" w:cs="Times New Roman"/>
      <w:b/>
      <w:sz w:val="52"/>
      <w:szCs w:val="52"/>
    </w:rPr>
  </w:style>
  <w:style w:type="character" w:customStyle="1" w:styleId="67">
    <w:name w:val="副标题 字符"/>
    <w:basedOn w:val="29"/>
    <w:link w:val="22"/>
    <w:qFormat/>
    <w:uiPriority w:val="11"/>
    <w:rPr>
      <w:rFonts w:ascii="仿宋_GB2312" w:hAnsi="Times New Roman" w:eastAsia="仿宋_GB2312" w:cs="Times New Roman"/>
      <w:sz w:val="40"/>
      <w:szCs w:val="32"/>
    </w:rPr>
  </w:style>
  <w:style w:type="character" w:customStyle="1" w:styleId="68">
    <w:name w:val="落款 字符"/>
    <w:basedOn w:val="29"/>
    <w:link w:val="42"/>
    <w:qFormat/>
    <w:uiPriority w:val="0"/>
    <w:rPr>
      <w:rFonts w:ascii="Times New Roman" w:hAnsi="Times New Roman" w:eastAsia="楷体_GB2312" w:cs="Times New Roman"/>
      <w:b/>
      <w:color w:val="000000"/>
      <w:sz w:val="32"/>
      <w:szCs w:val="32"/>
    </w:rPr>
  </w:style>
  <w:style w:type="character" w:customStyle="1" w:styleId="69">
    <w:name w:val="标题 2 字符"/>
    <w:basedOn w:val="29"/>
    <w:link w:val="3"/>
    <w:qFormat/>
    <w:uiPriority w:val="9"/>
    <w:rPr>
      <w:rFonts w:ascii="楷体" w:hAnsi="楷体" w:eastAsia="楷体" w:cs="Times New Roman"/>
      <w:b/>
      <w:bCs/>
      <w:sz w:val="32"/>
      <w:szCs w:val="32"/>
    </w:rPr>
  </w:style>
  <w:style w:type="character" w:customStyle="1" w:styleId="70">
    <w:name w:val="页眉 字符"/>
    <w:basedOn w:val="29"/>
    <w:link w:val="19"/>
    <w:qFormat/>
    <w:uiPriority w:val="99"/>
    <w:rPr>
      <w:rFonts w:ascii="Times New Roman" w:hAnsi="Times New Roman" w:eastAsia="仿宋_GB2312" w:cs="Times New Roman"/>
      <w:sz w:val="18"/>
      <w:szCs w:val="18"/>
    </w:rPr>
  </w:style>
  <w:style w:type="character" w:customStyle="1" w:styleId="71">
    <w:name w:val="页脚 字符"/>
    <w:basedOn w:val="29"/>
    <w:link w:val="18"/>
    <w:qFormat/>
    <w:uiPriority w:val="99"/>
    <w:rPr>
      <w:rFonts w:ascii="Times New Roman" w:hAnsi="Times New Roman" w:eastAsia="仿宋_GB2312" w:cs="Times New Roman"/>
      <w:sz w:val="18"/>
      <w:szCs w:val="18"/>
    </w:rPr>
  </w:style>
  <w:style w:type="character" w:customStyle="1" w:styleId="72">
    <w:name w:val="批注框文本 字符"/>
    <w:basedOn w:val="29"/>
    <w:link w:val="17"/>
    <w:semiHidden/>
    <w:qFormat/>
    <w:uiPriority w:val="99"/>
    <w:rPr>
      <w:rFonts w:ascii="Times New Roman" w:hAnsi="Times New Roman" w:eastAsia="仿宋_GB2312" w:cs="Times New Roman"/>
      <w:sz w:val="18"/>
      <w:szCs w:val="18"/>
    </w:rPr>
  </w:style>
  <w:style w:type="character" w:customStyle="1" w:styleId="73">
    <w:name w:val="脚注文本 字符"/>
    <w:basedOn w:val="29"/>
    <w:link w:val="23"/>
    <w:qFormat/>
    <w:uiPriority w:val="99"/>
    <w:rPr>
      <w:rFonts w:eastAsia="仿宋_GB2312"/>
      <w:kern w:val="2"/>
      <w:sz w:val="18"/>
      <w:szCs w:val="24"/>
    </w:rPr>
  </w:style>
  <w:style w:type="character" w:customStyle="1" w:styleId="74">
    <w:name w:val="文档结构图 字符"/>
    <w:basedOn w:val="29"/>
    <w:link w:val="9"/>
    <w:semiHidden/>
    <w:qFormat/>
    <w:uiPriority w:val="99"/>
    <w:rPr>
      <w:rFonts w:ascii="宋体"/>
      <w:kern w:val="2"/>
      <w:sz w:val="18"/>
      <w:szCs w:val="18"/>
    </w:rPr>
  </w:style>
  <w:style w:type="character" w:customStyle="1" w:styleId="75">
    <w:name w:val="脚注文本 字符1"/>
    <w:qFormat/>
    <w:uiPriority w:val="99"/>
    <w:rPr>
      <w:rFonts w:ascii="Calibri" w:hAnsi="Calibri"/>
      <w:kern w:val="2"/>
      <w:sz w:val="18"/>
      <w:szCs w:val="18"/>
    </w:rPr>
  </w:style>
  <w:style w:type="character" w:customStyle="1" w:styleId="76">
    <w:name w:val="正文文本缩进 字符"/>
    <w:basedOn w:val="29"/>
    <w:link w:val="12"/>
    <w:qFormat/>
    <w:uiPriority w:val="99"/>
    <w:rPr>
      <w:rFonts w:eastAsia="仿宋_GB2312"/>
      <w:kern w:val="2"/>
      <w:sz w:val="32"/>
      <w:szCs w:val="24"/>
    </w:rPr>
  </w:style>
  <w:style w:type="character" w:customStyle="1" w:styleId="77">
    <w:name w:val="未处理的提及1"/>
    <w:basedOn w:val="29"/>
    <w:unhideWhenUsed/>
    <w:qFormat/>
    <w:uiPriority w:val="99"/>
    <w:rPr>
      <w:color w:val="605E5C"/>
      <w:shd w:val="clear" w:color="auto" w:fill="E1DFDD"/>
    </w:rPr>
  </w:style>
  <w:style w:type="character" w:customStyle="1" w:styleId="78">
    <w:name w:val="批注文字 字符"/>
    <w:basedOn w:val="29"/>
    <w:link w:val="10"/>
    <w:semiHidden/>
    <w:qFormat/>
    <w:uiPriority w:val="99"/>
    <w:rPr>
      <w:rFonts w:ascii="Calibri" w:hAnsi="Calibri"/>
    </w:rPr>
  </w:style>
  <w:style w:type="character" w:customStyle="1" w:styleId="79">
    <w:name w:val="尾注文本 字符"/>
    <w:basedOn w:val="29"/>
    <w:link w:val="16"/>
    <w:semiHidden/>
    <w:qFormat/>
    <w:uiPriority w:val="0"/>
    <w:rPr>
      <w:rFonts w:eastAsia="仿宋_GB2312"/>
      <w:kern w:val="2"/>
      <w:sz w:val="32"/>
      <w:szCs w:val="24"/>
    </w:rPr>
  </w:style>
  <w:style w:type="character" w:customStyle="1" w:styleId="80">
    <w:name w:val="Unresolved Mention"/>
    <w:basedOn w:val="29"/>
    <w:unhideWhenUsed/>
    <w:uiPriority w:val="99"/>
    <w:rPr>
      <w:color w:val="605E5C"/>
      <w:shd w:val="clear" w:color="auto" w:fill="E1DFDD"/>
    </w:rPr>
  </w:style>
  <w:style w:type="table" w:customStyle="1" w:styleId="81">
    <w:name w:val="网格型1"/>
    <w:basedOn w:val="35"/>
    <w:qFormat/>
    <w:uiPriority w:val="99"/>
    <w:pPr>
      <w:widowControl w:val="0"/>
      <w:jc w:val="both"/>
    </w:pPr>
    <w:tblPr>
      <w:tblStyle w:val="3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5088</Words>
  <Characters>29008</Characters>
  <Lines>241</Lines>
  <Paragraphs>68</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2020-09-08T07:40:00Z</dcterms:created>
  <dc:creator>胡胜蓉</dc:creator>
  <cp:lastModifiedBy>黄燕</cp:lastModifiedBy>
  <cp:lastPrinted>2021-07-29T08:04:00Z</cp:lastPrinted>
  <dcterms:modified xsi:type="dcterms:W3CDTF">2024-05-27T10:57:41Z</dcterms:modified>
  <dc:title>杭州市余杭区“十四五”制造业</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D1833EF37CD84F2EBF66C3C85A34C00D</vt:lpwstr>
  </property>
</Properties>
</file>