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474825">
      <w:pPr>
        <w:widowControl w:val="0"/>
        <w:wordWrap/>
        <w:adjustRightInd/>
        <w:snapToGrid/>
        <w:spacing w:line="640" w:lineRule="exact"/>
        <w:ind w:left="0" w:leftChars="0" w:right="0" w:firstLine="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附件1：杭州市余杭区司法局行政规范性文件清理结果（征</w:t>
      </w:r>
    </w:p>
    <w:p w14:paraId="032AAB93">
      <w:pPr>
        <w:widowControl w:val="0"/>
        <w:wordWrap/>
        <w:adjustRightInd/>
        <w:snapToGrid/>
        <w:spacing w:line="640" w:lineRule="exact"/>
        <w:ind w:left="0" w:leftChars="0" w:right="0" w:firstLine="1280" w:firstLineChars="400"/>
        <w:jc w:val="both"/>
        <w:textAlignment w:val="auto"/>
        <w:outlineLvl w:val="9"/>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求意见稿）</w:t>
      </w:r>
    </w:p>
    <w:p w14:paraId="63BCEB0F">
      <w:pPr>
        <w:widowControl w:val="0"/>
        <w:wordWrap/>
        <w:adjustRightInd/>
        <w:snapToGrid/>
        <w:spacing w:line="640" w:lineRule="exact"/>
        <w:ind w:left="0" w:leftChars="0" w:right="0" w:firstLine="0" w:firstLineChars="0"/>
        <w:jc w:val="both"/>
        <w:textAlignment w:val="auto"/>
        <w:outlineLvl w:val="9"/>
        <w:rPr>
          <w:rFonts w:hint="eastAsia" w:ascii="仿宋_GB2312" w:hAnsi="仿宋_GB2312" w:eastAsia="仿宋_GB2312" w:cs="仿宋_GB2312"/>
          <w:sz w:val="32"/>
          <w:szCs w:val="32"/>
          <w:lang w:val="en-US" w:eastAsia="zh-CN"/>
        </w:rPr>
      </w:pPr>
    </w:p>
    <w:p w14:paraId="77521744">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sz w:val="32"/>
          <w:szCs w:val="32"/>
          <w:lang w:val="en-US" w:eastAsia="zh-CN"/>
        </w:rPr>
      </w:pPr>
      <w:r>
        <w:rPr>
          <w:rFonts w:hint="eastAsia" w:ascii="方正小标宋_GBK" w:hAnsi="方正小标宋_GBK" w:eastAsia="方正小标宋_GBK" w:cs="方正小标宋_GBK"/>
          <w:sz w:val="44"/>
          <w:szCs w:val="44"/>
          <w:lang w:val="en-US" w:eastAsia="zh-CN"/>
        </w:rPr>
        <w:t>继续有效的行政规范性文件目录</w:t>
      </w:r>
    </w:p>
    <w:p w14:paraId="4FDB7057">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sz w:val="32"/>
          <w:szCs w:val="32"/>
          <w:lang w:val="en-US" w:eastAsia="zh-CN"/>
        </w:rPr>
      </w:pP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4"/>
        <w:gridCol w:w="2760"/>
        <w:gridCol w:w="4688"/>
      </w:tblGrid>
      <w:tr w14:paraId="0AB43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074" w:type="dxa"/>
            <w:vAlign w:val="center"/>
          </w:tcPr>
          <w:p w14:paraId="5C4B473D">
            <w:pPr>
              <w:jc w:val="center"/>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序号</w:t>
            </w:r>
          </w:p>
        </w:tc>
        <w:tc>
          <w:tcPr>
            <w:tcW w:w="2760" w:type="dxa"/>
            <w:vAlign w:val="center"/>
          </w:tcPr>
          <w:p w14:paraId="481DCF12">
            <w:pPr>
              <w:jc w:val="center"/>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发文字号</w:t>
            </w:r>
          </w:p>
        </w:tc>
        <w:tc>
          <w:tcPr>
            <w:tcW w:w="4688" w:type="dxa"/>
            <w:vAlign w:val="center"/>
          </w:tcPr>
          <w:p w14:paraId="4A2BC3A1">
            <w:pPr>
              <w:jc w:val="center"/>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文件标题</w:t>
            </w:r>
          </w:p>
        </w:tc>
      </w:tr>
      <w:tr w14:paraId="562E3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1074" w:type="dxa"/>
            <w:vAlign w:val="center"/>
          </w:tcPr>
          <w:p w14:paraId="523ADDDE">
            <w:pPr>
              <w:jc w:val="center"/>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w:t>
            </w:r>
          </w:p>
        </w:tc>
        <w:tc>
          <w:tcPr>
            <w:tcW w:w="2760" w:type="dxa"/>
            <w:vAlign w:val="center"/>
          </w:tcPr>
          <w:p w14:paraId="2802C411">
            <w:pPr>
              <w:widowControl/>
              <w:snapToGrid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color w:val="auto"/>
                <w:sz w:val="24"/>
                <w:szCs w:val="24"/>
              </w:rPr>
              <w:t>余司</w:t>
            </w:r>
            <w:r>
              <w:rPr>
                <w:rFonts w:hint="eastAsia" w:ascii="仿宋_GB2312" w:hAnsi="仿宋_GB2312" w:eastAsia="仿宋_GB2312" w:cs="仿宋_GB2312"/>
                <w:color w:val="000000"/>
                <w:kern w:val="0"/>
                <w:sz w:val="24"/>
                <w:szCs w:val="24"/>
                <w:lang w:val="en-US" w:eastAsia="zh-CN" w:bidi="ar-SA"/>
              </w:rPr>
              <w:t>〔</w:t>
            </w:r>
            <w:r>
              <w:rPr>
                <w:rFonts w:hint="eastAsia" w:ascii="仿宋_GB2312" w:hAnsi="仿宋_GB2312" w:eastAsia="仿宋_GB2312" w:cs="仿宋_GB2312"/>
                <w:color w:val="auto"/>
                <w:sz w:val="24"/>
                <w:szCs w:val="24"/>
                <w:lang w:val="en-US" w:eastAsia="zh-CN"/>
              </w:rPr>
              <w:t>2017〕13</w:t>
            </w:r>
            <w:r>
              <w:rPr>
                <w:rFonts w:hint="eastAsia" w:ascii="仿宋_GB2312" w:hAnsi="仿宋_GB2312" w:eastAsia="仿宋_GB2312" w:cs="仿宋_GB2312"/>
                <w:color w:val="auto"/>
                <w:sz w:val="24"/>
                <w:szCs w:val="24"/>
              </w:rPr>
              <w:t>号</w:t>
            </w:r>
          </w:p>
        </w:tc>
        <w:tc>
          <w:tcPr>
            <w:tcW w:w="4688" w:type="dxa"/>
            <w:vAlign w:val="center"/>
          </w:tcPr>
          <w:p w14:paraId="0E7F91FE">
            <w:pPr>
              <w:snapToGrid w:val="0"/>
              <w:spacing w:before="0" w:beforeAutospacing="0" w:after="0" w:afterAutospacing="0" w:line="288" w:lineRule="auto"/>
              <w:ind w:left="31" w:leftChars="15" w:right="0" w:rightChars="0"/>
              <w:jc w:val="both"/>
              <w:textAlignment w:val="center"/>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color w:val="auto"/>
                <w:sz w:val="24"/>
                <w:szCs w:val="24"/>
                <w:lang w:val="en-US" w:eastAsia="zh-CN"/>
              </w:rPr>
              <w:t>《余杭区司法局关于公布规范性文件清理结果的通知》</w:t>
            </w:r>
          </w:p>
        </w:tc>
      </w:tr>
      <w:tr w14:paraId="19E68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jc w:val="center"/>
        </w:trPr>
        <w:tc>
          <w:tcPr>
            <w:tcW w:w="1074" w:type="dxa"/>
            <w:vAlign w:val="center"/>
          </w:tcPr>
          <w:p w14:paraId="16F357E4">
            <w:pPr>
              <w:jc w:val="center"/>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2</w:t>
            </w:r>
          </w:p>
        </w:tc>
        <w:tc>
          <w:tcPr>
            <w:tcW w:w="2760" w:type="dxa"/>
            <w:vAlign w:val="center"/>
          </w:tcPr>
          <w:p w14:paraId="5D1E6642">
            <w:pPr>
              <w:widowControl/>
              <w:snapToGrid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color w:val="auto"/>
                <w:sz w:val="24"/>
                <w:szCs w:val="24"/>
              </w:rPr>
              <w:t>余司</w:t>
            </w:r>
            <w:r>
              <w:rPr>
                <w:rFonts w:hint="eastAsia" w:ascii="仿宋_GB2312" w:hAnsi="仿宋_GB2312" w:eastAsia="仿宋_GB2312" w:cs="仿宋_GB2312"/>
                <w:color w:val="auto"/>
                <w:sz w:val="24"/>
                <w:szCs w:val="24"/>
                <w:lang w:val="en-US" w:eastAsia="zh-CN"/>
              </w:rPr>
              <w:t>〔2017〕26</w:t>
            </w:r>
            <w:r>
              <w:rPr>
                <w:rFonts w:hint="eastAsia" w:ascii="仿宋_GB2312" w:hAnsi="仿宋_GB2312" w:eastAsia="仿宋_GB2312" w:cs="仿宋_GB2312"/>
                <w:color w:val="auto"/>
                <w:sz w:val="24"/>
                <w:szCs w:val="24"/>
              </w:rPr>
              <w:t>号</w:t>
            </w:r>
          </w:p>
        </w:tc>
        <w:tc>
          <w:tcPr>
            <w:tcW w:w="4688" w:type="dxa"/>
            <w:vAlign w:val="center"/>
          </w:tcPr>
          <w:p w14:paraId="166589CE">
            <w:pPr>
              <w:snapToGrid w:val="0"/>
              <w:spacing w:before="0" w:beforeAutospacing="0" w:after="0" w:afterAutospacing="0" w:line="288" w:lineRule="auto"/>
              <w:ind w:left="31" w:leftChars="15" w:right="0" w:rightChars="0"/>
              <w:jc w:val="both"/>
              <w:textAlignment w:val="center"/>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color w:val="auto"/>
                <w:sz w:val="24"/>
                <w:szCs w:val="24"/>
                <w:lang w:eastAsia="zh-CN"/>
              </w:rPr>
              <w:t>关于印发《余杭区法律援助案件指派办法》的通知</w:t>
            </w:r>
          </w:p>
        </w:tc>
      </w:tr>
      <w:tr w14:paraId="26A80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1" w:hRule="atLeast"/>
          <w:jc w:val="center"/>
        </w:trPr>
        <w:tc>
          <w:tcPr>
            <w:tcW w:w="1074" w:type="dxa"/>
            <w:vAlign w:val="center"/>
          </w:tcPr>
          <w:p w14:paraId="4FAF9E3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2760" w:type="dxa"/>
            <w:vAlign w:val="center"/>
          </w:tcPr>
          <w:p w14:paraId="771EA201">
            <w:pPr>
              <w:widowControl/>
              <w:spacing w:before="0" w:beforeAutospacing="0" w:after="0" w:afterAutospacing="0"/>
              <w:ind w:left="0" w:leftChars="0" w:right="0" w:rightChars="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rPr>
              <w:t>余司</w:t>
            </w:r>
            <w:r>
              <w:rPr>
                <w:rFonts w:hint="eastAsia" w:ascii="仿宋_GB2312" w:hAnsi="仿宋_GB2312" w:eastAsia="仿宋_GB2312" w:cs="仿宋_GB2312"/>
                <w:color w:val="auto"/>
                <w:sz w:val="24"/>
                <w:szCs w:val="24"/>
                <w:lang w:val="en-US" w:eastAsia="zh-CN"/>
              </w:rPr>
              <w:t>〔2020〕8</w:t>
            </w:r>
            <w:r>
              <w:rPr>
                <w:rFonts w:hint="eastAsia" w:ascii="仿宋_GB2312" w:hAnsi="仿宋_GB2312" w:eastAsia="仿宋_GB2312" w:cs="仿宋_GB2312"/>
                <w:color w:val="auto"/>
                <w:sz w:val="24"/>
                <w:szCs w:val="24"/>
              </w:rPr>
              <w:t>号</w:t>
            </w:r>
          </w:p>
        </w:tc>
        <w:tc>
          <w:tcPr>
            <w:tcW w:w="4688" w:type="dxa"/>
            <w:vAlign w:val="center"/>
          </w:tcPr>
          <w:p w14:paraId="7E326C3D">
            <w:pPr>
              <w:widowControl/>
              <w:spacing w:before="0" w:beforeAutospacing="0" w:after="0" w:afterAutospacing="0"/>
              <w:ind w:left="0" w:leftChars="0" w:right="0" w:rightChars="0"/>
              <w:jc w:val="both"/>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pacing w:val="-6"/>
                <w:kern w:val="0"/>
                <w:sz w:val="24"/>
                <w:szCs w:val="24"/>
                <w:lang w:val="en-US" w:eastAsia="zh-CN"/>
              </w:rPr>
              <w:t>关于印发《杭州市余杭区行政复议申请登记制度》《杭州市余杭区行政复议档案管理规定》《杭州市余杭区司法局（区行政复议局）重大行政复议案件集体讨论制度》《杭州市余杭区司法局（区行政复议局）行政复议案件请示报告制度》《杭州市余杭区司法局（区行政复议局）行政复议、应诉办案人员（办案辅助人员）内部日常绩效考核细则》的通知</w:t>
            </w:r>
          </w:p>
        </w:tc>
      </w:tr>
      <w:tr w14:paraId="5FA37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atLeast"/>
          <w:jc w:val="center"/>
        </w:trPr>
        <w:tc>
          <w:tcPr>
            <w:tcW w:w="1074" w:type="dxa"/>
            <w:vAlign w:val="center"/>
          </w:tcPr>
          <w:p w14:paraId="71595F35">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2760" w:type="dxa"/>
            <w:vAlign w:val="center"/>
          </w:tcPr>
          <w:p w14:paraId="39EFF449">
            <w:pPr>
              <w:widowControl/>
              <w:spacing w:before="0" w:beforeAutospacing="0" w:after="0" w:afterAutospacing="0"/>
              <w:ind w:left="0" w:leftChars="0" w:right="0" w:rightChars="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rPr>
              <w:t>余司</w:t>
            </w:r>
            <w:r>
              <w:rPr>
                <w:rFonts w:hint="eastAsia" w:ascii="仿宋_GB2312" w:hAnsi="仿宋_GB2312" w:eastAsia="仿宋_GB2312" w:cs="仿宋_GB2312"/>
                <w:color w:val="auto"/>
                <w:sz w:val="24"/>
                <w:szCs w:val="24"/>
                <w:lang w:val="en-US" w:eastAsia="zh-CN"/>
              </w:rPr>
              <w:t>〔2020〕9</w:t>
            </w:r>
            <w:r>
              <w:rPr>
                <w:rFonts w:hint="eastAsia" w:ascii="仿宋_GB2312" w:hAnsi="仿宋_GB2312" w:eastAsia="仿宋_GB2312" w:cs="仿宋_GB2312"/>
                <w:color w:val="auto"/>
                <w:sz w:val="24"/>
                <w:szCs w:val="24"/>
              </w:rPr>
              <w:t>号</w:t>
            </w:r>
          </w:p>
        </w:tc>
        <w:tc>
          <w:tcPr>
            <w:tcW w:w="4688" w:type="dxa"/>
            <w:vAlign w:val="center"/>
          </w:tcPr>
          <w:p w14:paraId="6B389B61">
            <w:pPr>
              <w:widowControl/>
              <w:spacing w:before="0" w:beforeAutospacing="0" w:after="0" w:afterAutospacing="0"/>
              <w:ind w:left="0" w:leftChars="0" w:right="0" w:rightChars="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pacing w:val="-6"/>
                <w:kern w:val="0"/>
                <w:sz w:val="24"/>
                <w:szCs w:val="24"/>
                <w:lang w:val="en-US" w:eastAsia="zh-CN"/>
              </w:rPr>
              <w:t>关于印发《杭州市余杭区行政复议答复工作制度》《杭州市余杭区司法局（区行政复议局）行政复议行政应诉专家咨询工作规则》的通知</w:t>
            </w:r>
          </w:p>
        </w:tc>
      </w:tr>
      <w:tr w14:paraId="457F5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1074" w:type="dxa"/>
            <w:vAlign w:val="center"/>
          </w:tcPr>
          <w:p w14:paraId="7524D11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w:t>
            </w:r>
          </w:p>
        </w:tc>
        <w:tc>
          <w:tcPr>
            <w:tcW w:w="2760" w:type="dxa"/>
            <w:vAlign w:val="center"/>
          </w:tcPr>
          <w:p w14:paraId="7BA1E4ED">
            <w:pPr>
              <w:widowControl/>
              <w:spacing w:before="0" w:beforeAutospacing="0" w:after="0" w:afterAutospacing="0"/>
              <w:ind w:left="0" w:leftChars="0" w:right="0" w:rightChars="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pacing w:val="-6"/>
                <w:kern w:val="0"/>
                <w:sz w:val="24"/>
                <w:szCs w:val="24"/>
                <w:lang w:val="en-US" w:eastAsia="zh-CN"/>
              </w:rPr>
              <w:t>余司〔2022〕8号</w:t>
            </w:r>
          </w:p>
        </w:tc>
        <w:tc>
          <w:tcPr>
            <w:tcW w:w="4688" w:type="dxa"/>
            <w:vAlign w:val="center"/>
          </w:tcPr>
          <w:p w14:paraId="20D5CABB">
            <w:pPr>
              <w:widowControl/>
              <w:spacing w:before="0" w:beforeAutospacing="0" w:after="0" w:afterAutospacing="0"/>
              <w:ind w:left="0" w:leftChars="0" w:right="0" w:rightChars="0"/>
              <w:jc w:val="both"/>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pacing w:val="-6"/>
                <w:kern w:val="0"/>
                <w:sz w:val="24"/>
                <w:szCs w:val="24"/>
                <w:lang w:val="en-US" w:eastAsia="zh-CN"/>
              </w:rPr>
              <w:t>《杭州市余杭区司法局关于公布规范性文件清理结果的通知》</w:t>
            </w:r>
          </w:p>
        </w:tc>
      </w:tr>
    </w:tbl>
    <w:p w14:paraId="5EA0BD98">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br w:type="page"/>
      </w:r>
    </w:p>
    <w:p w14:paraId="275A89DF">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sz w:val="32"/>
          <w:szCs w:val="32"/>
          <w:lang w:val="en-US" w:eastAsia="zh-CN"/>
        </w:rPr>
      </w:pPr>
      <w:r>
        <w:rPr>
          <w:rFonts w:hint="eastAsia" w:ascii="方正小标宋_GBK" w:hAnsi="方正小标宋_GBK" w:eastAsia="方正小标宋_GBK" w:cs="方正小标宋_GBK"/>
          <w:sz w:val="44"/>
          <w:szCs w:val="44"/>
          <w:lang w:val="en-US" w:eastAsia="zh-CN"/>
        </w:rPr>
        <w:t>拟废止或宣布失效的行政规范性文件目录</w:t>
      </w:r>
    </w:p>
    <w:p w14:paraId="09B8471D">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sz w:val="32"/>
          <w:szCs w:val="32"/>
          <w:lang w:val="en-US" w:eastAsia="zh-CN"/>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9"/>
        <w:gridCol w:w="2736"/>
        <w:gridCol w:w="4697"/>
      </w:tblGrid>
      <w:tr w14:paraId="60E2F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089" w:type="dxa"/>
            <w:vAlign w:val="center"/>
          </w:tcPr>
          <w:p w14:paraId="0FA16077">
            <w:pPr>
              <w:jc w:val="center"/>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序号</w:t>
            </w:r>
          </w:p>
        </w:tc>
        <w:tc>
          <w:tcPr>
            <w:tcW w:w="2736" w:type="dxa"/>
            <w:vAlign w:val="center"/>
          </w:tcPr>
          <w:p w14:paraId="4C216D50">
            <w:pPr>
              <w:jc w:val="center"/>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发文字号</w:t>
            </w:r>
          </w:p>
        </w:tc>
        <w:tc>
          <w:tcPr>
            <w:tcW w:w="4697" w:type="dxa"/>
            <w:vAlign w:val="center"/>
          </w:tcPr>
          <w:p w14:paraId="4DC9AE3E">
            <w:pPr>
              <w:jc w:val="center"/>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文件标题</w:t>
            </w:r>
          </w:p>
        </w:tc>
      </w:tr>
      <w:tr w14:paraId="7E1FC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1089" w:type="dxa"/>
            <w:vAlign w:val="center"/>
          </w:tcPr>
          <w:p w14:paraId="11495A4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2736" w:type="dxa"/>
            <w:vAlign w:val="center"/>
          </w:tcPr>
          <w:p w14:paraId="3B8D77DB">
            <w:pPr>
              <w:widowControl/>
              <w:snapToGrid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rPr>
              <w:t>余司</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2011</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45号</w:t>
            </w:r>
          </w:p>
        </w:tc>
        <w:tc>
          <w:tcPr>
            <w:tcW w:w="4697" w:type="dxa"/>
            <w:vAlign w:val="center"/>
          </w:tcPr>
          <w:p w14:paraId="0D78D8F6">
            <w:pPr>
              <w:snapToGrid w:val="0"/>
              <w:spacing w:before="0" w:beforeAutospacing="0" w:after="0" w:afterAutospacing="0" w:line="288" w:lineRule="auto"/>
              <w:ind w:left="31" w:leftChars="15" w:right="0" w:rightChars="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rPr>
              <w:t>关于印发《余杭区基层司法所公共服务标准》的通知</w:t>
            </w:r>
          </w:p>
        </w:tc>
      </w:tr>
      <w:tr w14:paraId="28A14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trPr>
        <w:tc>
          <w:tcPr>
            <w:tcW w:w="1089" w:type="dxa"/>
            <w:vAlign w:val="center"/>
          </w:tcPr>
          <w:p w14:paraId="143D646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2736" w:type="dxa"/>
            <w:vAlign w:val="center"/>
          </w:tcPr>
          <w:p w14:paraId="5A0D376A">
            <w:pPr>
              <w:widowControl/>
              <w:snapToGrid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rPr>
              <w:t>余司〔2013〕26号</w:t>
            </w:r>
          </w:p>
        </w:tc>
        <w:tc>
          <w:tcPr>
            <w:tcW w:w="4697" w:type="dxa"/>
            <w:vAlign w:val="center"/>
          </w:tcPr>
          <w:p w14:paraId="0D6AF266">
            <w:pPr>
              <w:snapToGrid w:val="0"/>
              <w:spacing w:before="0" w:beforeAutospacing="0" w:after="0" w:afterAutospacing="0" w:line="288" w:lineRule="auto"/>
              <w:ind w:left="31" w:leftChars="15" w:right="0" w:rightChars="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rPr>
              <w:t>关于印发《余杭区人民调解“以奖代补”实施办法》的通知</w:t>
            </w:r>
          </w:p>
        </w:tc>
      </w:tr>
      <w:tr w14:paraId="42BE3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1089" w:type="dxa"/>
            <w:vAlign w:val="center"/>
          </w:tcPr>
          <w:p w14:paraId="3E5D451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2736" w:type="dxa"/>
            <w:vAlign w:val="center"/>
          </w:tcPr>
          <w:p w14:paraId="350C3BEF">
            <w:pPr>
              <w:widowControl/>
              <w:snapToGrid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sz w:val="24"/>
                <w:szCs w:val="24"/>
              </w:rPr>
              <w:t>余司〔2013〕39号</w:t>
            </w:r>
          </w:p>
        </w:tc>
        <w:tc>
          <w:tcPr>
            <w:tcW w:w="4697" w:type="dxa"/>
            <w:vAlign w:val="center"/>
          </w:tcPr>
          <w:p w14:paraId="188CF225">
            <w:pPr>
              <w:snapToGrid w:val="0"/>
              <w:spacing w:before="0" w:beforeAutospacing="0" w:after="0" w:afterAutospacing="0" w:line="288" w:lineRule="auto"/>
              <w:ind w:left="31" w:leftChars="15" w:right="0" w:rightChars="0"/>
              <w:jc w:val="center"/>
              <w:textAlignment w:val="center"/>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关于开展法律援助案件诉讼保全担保工作的实施办法</w:t>
            </w:r>
            <w:r>
              <w:rPr>
                <w:rFonts w:hint="eastAsia" w:ascii="仿宋_GB2312" w:hAnsi="仿宋_GB2312" w:eastAsia="仿宋_GB2312" w:cs="仿宋_GB2312"/>
                <w:color w:val="auto"/>
                <w:sz w:val="24"/>
                <w:szCs w:val="24"/>
                <w:lang w:eastAsia="zh-CN"/>
              </w:rPr>
              <w:t>》</w:t>
            </w:r>
          </w:p>
        </w:tc>
      </w:tr>
      <w:tr w14:paraId="7D1D2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089" w:type="dxa"/>
            <w:vAlign w:val="center"/>
          </w:tcPr>
          <w:p w14:paraId="4E14685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2736" w:type="dxa"/>
            <w:vAlign w:val="center"/>
          </w:tcPr>
          <w:p w14:paraId="6BF9A32F">
            <w:pPr>
              <w:snapToGrid w:val="0"/>
              <w:spacing w:before="0" w:beforeAutospacing="0" w:after="0" w:afterAutospacing="0" w:line="288" w:lineRule="auto"/>
              <w:ind w:left="31" w:leftChars="15" w:right="0" w:rightChars="0"/>
              <w:jc w:val="center"/>
              <w:textAlignment w:val="center"/>
              <w:rPr>
                <w:rFonts w:hint="eastAsia" w:ascii="仿宋_GB2312" w:hAnsi="仿宋_GB2312" w:eastAsia="仿宋_GB2312" w:cs="仿宋_GB2312"/>
                <w:kern w:val="2"/>
                <w:sz w:val="24"/>
                <w:szCs w:val="24"/>
                <w:vertAlign w:val="baseline"/>
                <w:lang w:val="en-US" w:eastAsia="zh-CN"/>
              </w:rPr>
            </w:pPr>
            <w:r>
              <w:rPr>
                <w:rFonts w:hint="eastAsia" w:ascii="仿宋_GB2312" w:hAnsi="仿宋_GB2312" w:eastAsia="仿宋_GB2312" w:cs="仿宋_GB2312"/>
                <w:color w:val="auto"/>
                <w:sz w:val="24"/>
                <w:szCs w:val="24"/>
                <w:lang w:val="en-US" w:eastAsia="zh-CN"/>
              </w:rPr>
              <w:t>余司〔2016〕16号</w:t>
            </w:r>
          </w:p>
        </w:tc>
        <w:tc>
          <w:tcPr>
            <w:tcW w:w="4697" w:type="dxa"/>
            <w:vAlign w:val="center"/>
          </w:tcPr>
          <w:p w14:paraId="69AC256F">
            <w:pPr>
              <w:snapToGrid w:val="0"/>
              <w:spacing w:before="0" w:beforeAutospacing="0" w:after="0" w:afterAutospacing="0" w:line="288" w:lineRule="auto"/>
              <w:ind w:left="31" w:leftChars="15" w:right="0" w:rightChars="0"/>
              <w:jc w:val="center"/>
              <w:textAlignment w:val="center"/>
              <w:rPr>
                <w:rFonts w:hint="eastAsia" w:ascii="仿宋_GB2312" w:hAnsi="仿宋_GB2312" w:eastAsia="仿宋_GB2312" w:cs="仿宋_GB2312"/>
                <w:kern w:val="2"/>
                <w:sz w:val="24"/>
                <w:szCs w:val="24"/>
                <w:vertAlign w:val="baseline"/>
                <w:lang w:val="en-US" w:eastAsia="zh-CN"/>
              </w:rPr>
            </w:pPr>
            <w:r>
              <w:rPr>
                <w:rFonts w:hint="eastAsia" w:ascii="仿宋_GB2312" w:hAnsi="仿宋_GB2312" w:eastAsia="仿宋_GB2312" w:cs="仿宋_GB2312"/>
                <w:color w:val="auto"/>
                <w:sz w:val="24"/>
                <w:szCs w:val="24"/>
              </w:rPr>
              <w:t>关于印发《余杭区村（社区）法律顾问工作管理办法》的通知</w:t>
            </w:r>
          </w:p>
        </w:tc>
      </w:tr>
      <w:tr w14:paraId="6BD29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1089" w:type="dxa"/>
            <w:vAlign w:val="center"/>
          </w:tcPr>
          <w:p w14:paraId="40EB1335">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w:t>
            </w:r>
          </w:p>
        </w:tc>
        <w:tc>
          <w:tcPr>
            <w:tcW w:w="2736" w:type="dxa"/>
            <w:vAlign w:val="center"/>
          </w:tcPr>
          <w:p w14:paraId="0B3ED485">
            <w:pPr>
              <w:widowControl/>
              <w:snapToGrid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余司</w:t>
            </w:r>
            <w:r>
              <w:rPr>
                <w:rFonts w:hint="eastAsia" w:ascii="仿宋_GB2312" w:hAnsi="仿宋_GB2312" w:eastAsia="仿宋_GB2312" w:cs="仿宋_GB2312"/>
                <w:color w:val="auto"/>
                <w:sz w:val="24"/>
                <w:szCs w:val="24"/>
                <w:lang w:val="en-US" w:eastAsia="zh-CN"/>
              </w:rPr>
              <w:t>〔2017〕25</w:t>
            </w:r>
            <w:r>
              <w:rPr>
                <w:rFonts w:hint="eastAsia" w:ascii="仿宋_GB2312" w:hAnsi="仿宋_GB2312" w:eastAsia="仿宋_GB2312" w:cs="仿宋_GB2312"/>
                <w:color w:val="auto"/>
                <w:sz w:val="24"/>
                <w:szCs w:val="24"/>
              </w:rPr>
              <w:t>号</w:t>
            </w:r>
          </w:p>
        </w:tc>
        <w:tc>
          <w:tcPr>
            <w:tcW w:w="4697" w:type="dxa"/>
            <w:vAlign w:val="center"/>
          </w:tcPr>
          <w:p w14:paraId="71FB3120">
            <w:pPr>
              <w:snapToGrid w:val="0"/>
              <w:spacing w:before="0" w:beforeAutospacing="0" w:after="0" w:afterAutospacing="0" w:line="288" w:lineRule="auto"/>
              <w:ind w:left="31" w:leftChars="15" w:right="0" w:rightChars="0"/>
              <w:jc w:val="center"/>
              <w:textAlignment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《余杭区医疗纠纷人民调解委员会以奖代补实施办法（试行）》</w:t>
            </w:r>
          </w:p>
        </w:tc>
      </w:tr>
      <w:tr w14:paraId="62F9C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2" w:hRule="atLeast"/>
        </w:trPr>
        <w:tc>
          <w:tcPr>
            <w:tcW w:w="1089" w:type="dxa"/>
            <w:vAlign w:val="center"/>
          </w:tcPr>
          <w:p w14:paraId="2010668A">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w:t>
            </w:r>
          </w:p>
        </w:tc>
        <w:tc>
          <w:tcPr>
            <w:tcW w:w="2736" w:type="dxa"/>
            <w:vAlign w:val="center"/>
          </w:tcPr>
          <w:p w14:paraId="25E71B92">
            <w:pPr>
              <w:snapToGrid w:val="0"/>
              <w:spacing w:before="0" w:beforeAutospacing="0" w:after="0" w:afterAutospacing="0" w:line="288" w:lineRule="auto"/>
              <w:ind w:left="31" w:leftChars="15" w:right="0" w:rightChars="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val="en-US" w:eastAsia="zh-CN"/>
              </w:rPr>
              <w:t>余司〔2020〕3号</w:t>
            </w:r>
          </w:p>
        </w:tc>
        <w:tc>
          <w:tcPr>
            <w:tcW w:w="4697" w:type="dxa"/>
            <w:vAlign w:val="center"/>
          </w:tcPr>
          <w:p w14:paraId="47106B83">
            <w:pPr>
              <w:snapToGrid w:val="0"/>
              <w:spacing w:before="0" w:beforeAutospacing="0" w:after="0" w:afterAutospacing="0" w:line="288" w:lineRule="auto"/>
              <w:ind w:left="31" w:leftChars="15" w:right="0"/>
              <w:jc w:val="center"/>
              <w:textAlignment w:val="center"/>
              <w:rPr>
                <w:rFonts w:hint="eastAsia" w:ascii="仿宋_GB2312" w:hAnsi="仿宋_GB2312" w:eastAsia="仿宋_GB2312" w:cs="仿宋_GB2312"/>
                <w:color w:val="auto"/>
                <w:sz w:val="24"/>
                <w:szCs w:val="24"/>
                <w:lang w:val="en-US" w:eastAsia="zh-CN"/>
              </w:rPr>
            </w:pPr>
          </w:p>
          <w:p w14:paraId="3F1C6067">
            <w:pPr>
              <w:snapToGrid w:val="0"/>
              <w:spacing w:before="0" w:beforeAutospacing="0" w:after="0" w:afterAutospacing="0" w:line="288" w:lineRule="auto"/>
              <w:ind w:left="31" w:leftChars="15" w:right="0"/>
              <w:jc w:val="center"/>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《关于充分发挥律师职能作用为新冠肺炎疫情防控期间企业复工复产提供优质高效法律服务的通知》</w:t>
            </w:r>
          </w:p>
          <w:p w14:paraId="6E80DE6C">
            <w:pPr>
              <w:snapToGrid w:val="0"/>
              <w:spacing w:before="0" w:beforeAutospacing="0" w:after="0" w:afterAutospacing="0" w:line="288" w:lineRule="auto"/>
              <w:ind w:left="31" w:leftChars="15" w:right="0" w:rightChars="0"/>
              <w:jc w:val="center"/>
              <w:textAlignment w:val="center"/>
              <w:rPr>
                <w:rFonts w:hint="eastAsia" w:ascii="仿宋_GB2312" w:hAnsi="仿宋_GB2312" w:eastAsia="仿宋_GB2312" w:cs="仿宋_GB2312"/>
                <w:sz w:val="24"/>
                <w:szCs w:val="24"/>
                <w:vertAlign w:val="baseline"/>
                <w:lang w:val="en-US" w:eastAsia="zh-CN"/>
              </w:rPr>
            </w:pPr>
          </w:p>
        </w:tc>
      </w:tr>
    </w:tbl>
    <w:p w14:paraId="748BA0E7">
      <w:pPr>
        <w:jc w:val="center"/>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8"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国标宋体-超大字符集扩"/>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国标宋体-超大字符集扩">
    <w:panose1 w:val="000005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FB104D"/>
    <w:rsid w:val="1FFF0E64"/>
    <w:rsid w:val="3D3F348E"/>
    <w:rsid w:val="3FBAD009"/>
    <w:rsid w:val="3FFFF8A3"/>
    <w:rsid w:val="4FDF58CC"/>
    <w:rsid w:val="5D8FB7A7"/>
    <w:rsid w:val="5F7AD512"/>
    <w:rsid w:val="6DBB797F"/>
    <w:rsid w:val="6DE7E21F"/>
    <w:rsid w:val="6FB69074"/>
    <w:rsid w:val="6FFA6F1E"/>
    <w:rsid w:val="77FB104D"/>
    <w:rsid w:val="7B6F3F8F"/>
    <w:rsid w:val="7DFBC41D"/>
    <w:rsid w:val="7F77C9BE"/>
    <w:rsid w:val="B7F72AFA"/>
    <w:rsid w:val="BFDA2A03"/>
    <w:rsid w:val="CF79CDBB"/>
    <w:rsid w:val="E5FD990A"/>
    <w:rsid w:val="FB6F1020"/>
    <w:rsid w:val="FF3B87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16</TotalTime>
  <ScaleCrop>false</ScaleCrop>
  <LinksUpToDate>false</LinksUpToDate>
  <CharactersWithSpaces>0</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2025-08-22T09:38:00Z</dcterms:created>
  <dc:creator>YHSF</dc:creator>
  <cp:lastModifiedBy>残影晨梦</cp:lastModifiedBy>
  <dcterms:modified xsi:type="dcterms:W3CDTF">2025-08-29T15:59:00Z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9E5708CF99DDBAFC844FB16816093ABA_43</vt:lpwstr>
  </property>
</Properties>
</file>